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481E" w14:textId="77777777" w:rsidR="00FA58C5" w:rsidRPr="0010623D" w:rsidRDefault="0064479C" w:rsidP="00616ADF">
      <w:pPr>
        <w:pStyle w:val="NormalDoubleSpace"/>
        <w:spacing w:line="240" w:lineRule="auto"/>
        <w:jc w:val="center"/>
        <w:rPr>
          <w:rFonts w:ascii="Garamond" w:hAnsi="Garamond"/>
          <w:b/>
          <w:sz w:val="28"/>
          <w:szCs w:val="28"/>
        </w:rPr>
      </w:pPr>
      <w:bookmarkStart w:id="0" w:name="_GoBack"/>
      <w:bookmarkEnd w:id="0"/>
      <w:r w:rsidRPr="0010623D">
        <w:rPr>
          <w:rFonts w:ascii="Garamond" w:hAnsi="Garamond"/>
          <w:b/>
          <w:i/>
          <w:sz w:val="28"/>
          <w:szCs w:val="28"/>
        </w:rPr>
        <w:t>People v Kennedy</w:t>
      </w:r>
    </w:p>
    <w:p w14:paraId="58157F03" w14:textId="77777777" w:rsidR="0020731F" w:rsidRDefault="0020731F" w:rsidP="00DA4404">
      <w:pPr>
        <w:pStyle w:val="NormalDoubleSpace"/>
        <w:spacing w:line="240" w:lineRule="auto"/>
        <w:jc w:val="center"/>
        <w:rPr>
          <w:rFonts w:ascii="Garamond" w:hAnsi="Garamond"/>
        </w:rPr>
      </w:pPr>
      <w:r w:rsidRPr="00DA4404">
        <w:rPr>
          <w:rFonts w:ascii="Garamond" w:hAnsi="Garamond"/>
        </w:rPr>
        <w:t xml:space="preserve">502 </w:t>
      </w:r>
      <w:proofErr w:type="spellStart"/>
      <w:r w:rsidRPr="00DA4404">
        <w:rPr>
          <w:rFonts w:ascii="Garamond" w:hAnsi="Garamond"/>
        </w:rPr>
        <w:t>Mich</w:t>
      </w:r>
      <w:proofErr w:type="spellEnd"/>
      <w:r w:rsidRPr="00DA4404">
        <w:rPr>
          <w:rFonts w:ascii="Garamond" w:hAnsi="Garamond"/>
        </w:rPr>
        <w:t xml:space="preserve"> 206; 917 NW2d 355 (2018)</w:t>
      </w:r>
    </w:p>
    <w:p w14:paraId="4BB6874E" w14:textId="77777777" w:rsidR="00DA4404" w:rsidRPr="00DA4404" w:rsidRDefault="00DA4404" w:rsidP="00DA4404">
      <w:pPr>
        <w:pStyle w:val="NormalDoubleSpace"/>
        <w:pBdr>
          <w:bottom w:val="single" w:sz="4" w:space="1" w:color="auto"/>
        </w:pBdr>
        <w:spacing w:line="240" w:lineRule="auto"/>
        <w:jc w:val="center"/>
        <w:rPr>
          <w:rFonts w:ascii="Garamond" w:hAnsi="Garamond"/>
          <w:i/>
        </w:rPr>
      </w:pPr>
      <w:r w:rsidRPr="00DA4404">
        <w:rPr>
          <w:rFonts w:ascii="Garamond" w:hAnsi="Garamond"/>
          <w:i/>
        </w:rPr>
        <w:t>Prepared by Erin Van Campen, Assistant Defender, State Appellate Defender Office</w:t>
      </w:r>
    </w:p>
    <w:p w14:paraId="3471A6C9" w14:textId="77777777" w:rsidR="0064479C" w:rsidRPr="00DA4404" w:rsidRDefault="0064479C" w:rsidP="00616ADF">
      <w:pPr>
        <w:pStyle w:val="NormalDoubleSpace"/>
        <w:spacing w:line="240" w:lineRule="auto"/>
        <w:jc w:val="both"/>
        <w:rPr>
          <w:rFonts w:ascii="Garamond" w:hAnsi="Garamond"/>
        </w:rPr>
      </w:pPr>
    </w:p>
    <w:p w14:paraId="071832A2" w14:textId="77777777" w:rsidR="0064479C" w:rsidRPr="00DA4404" w:rsidRDefault="0064479C" w:rsidP="00616ADF">
      <w:pPr>
        <w:pStyle w:val="NormalDoubleSpace"/>
        <w:spacing w:line="240" w:lineRule="auto"/>
        <w:jc w:val="both"/>
        <w:rPr>
          <w:rFonts w:ascii="Garamond" w:hAnsi="Garamond"/>
          <w:b/>
          <w:u w:val="single"/>
        </w:rPr>
      </w:pPr>
      <w:r w:rsidRPr="00DA4404">
        <w:rPr>
          <w:rFonts w:ascii="Garamond" w:hAnsi="Garamond"/>
          <w:b/>
          <w:u w:val="single"/>
        </w:rPr>
        <w:t>Key Holdings:</w:t>
      </w:r>
    </w:p>
    <w:p w14:paraId="465B1A83" w14:textId="77777777" w:rsidR="0064479C" w:rsidRPr="00DA4404" w:rsidRDefault="0064479C" w:rsidP="00616ADF">
      <w:pPr>
        <w:pStyle w:val="NormalDoubleSpace"/>
        <w:spacing w:line="240" w:lineRule="auto"/>
        <w:jc w:val="both"/>
        <w:rPr>
          <w:rFonts w:ascii="Garamond" w:hAnsi="Garamond"/>
          <w:u w:val="single"/>
        </w:rPr>
      </w:pPr>
    </w:p>
    <w:p w14:paraId="3014ED21" w14:textId="77777777" w:rsidR="0064479C" w:rsidRPr="00DA4404" w:rsidRDefault="00616ADF" w:rsidP="0040128C">
      <w:pPr>
        <w:pStyle w:val="NormalDoubleSpace"/>
        <w:numPr>
          <w:ilvl w:val="0"/>
          <w:numId w:val="5"/>
        </w:numPr>
        <w:spacing w:line="240" w:lineRule="auto"/>
        <w:jc w:val="both"/>
        <w:rPr>
          <w:rFonts w:ascii="Garamond" w:hAnsi="Garamond"/>
        </w:rPr>
      </w:pPr>
      <w:r w:rsidRPr="00DA4404">
        <w:rPr>
          <w:rFonts w:ascii="Garamond" w:hAnsi="Garamond"/>
        </w:rPr>
        <w:t>I</w:t>
      </w:r>
      <w:r w:rsidR="0064479C" w:rsidRPr="00DA4404">
        <w:rPr>
          <w:rFonts w:ascii="Garamond" w:hAnsi="Garamond"/>
        </w:rPr>
        <w:t xml:space="preserve">ndigent defendants </w:t>
      </w:r>
      <w:r w:rsidR="0040128C" w:rsidRPr="00DA4404">
        <w:rPr>
          <w:rFonts w:ascii="Garamond" w:hAnsi="Garamond"/>
        </w:rPr>
        <w:t>may have a due process right</w:t>
      </w:r>
      <w:r w:rsidR="0064479C" w:rsidRPr="00DA4404">
        <w:rPr>
          <w:rFonts w:ascii="Garamond" w:hAnsi="Garamond"/>
        </w:rPr>
        <w:t xml:space="preserve"> to expert assistance at state expense</w:t>
      </w:r>
      <w:r w:rsidR="0040128C" w:rsidRPr="00DA4404">
        <w:rPr>
          <w:rFonts w:ascii="Garamond" w:hAnsi="Garamond"/>
        </w:rPr>
        <w:t xml:space="preserve">, depending on the facts and circumstances of their case. </w:t>
      </w:r>
      <w:r w:rsidR="0040128C" w:rsidRPr="00DA4404">
        <w:rPr>
          <w:rFonts w:ascii="Garamond" w:hAnsi="Garamond"/>
          <w:i/>
        </w:rPr>
        <w:t>People v Kennedy</w:t>
      </w:r>
      <w:r w:rsidR="0040128C" w:rsidRPr="00DA4404">
        <w:rPr>
          <w:rFonts w:ascii="Garamond" w:hAnsi="Garamond"/>
        </w:rPr>
        <w:t xml:space="preserve">, 502 </w:t>
      </w:r>
      <w:proofErr w:type="spellStart"/>
      <w:r w:rsidR="0040128C" w:rsidRPr="00DA4404">
        <w:rPr>
          <w:rFonts w:ascii="Garamond" w:hAnsi="Garamond"/>
        </w:rPr>
        <w:t>Mich</w:t>
      </w:r>
      <w:proofErr w:type="spellEnd"/>
      <w:r w:rsidR="0040128C" w:rsidRPr="00DA4404">
        <w:rPr>
          <w:rFonts w:ascii="Garamond" w:hAnsi="Garamond"/>
        </w:rPr>
        <w:t xml:space="preserve"> 206; 917 NW2d 355 (2018).</w:t>
      </w:r>
      <w:r w:rsidR="0064479C" w:rsidRPr="00DA4404">
        <w:rPr>
          <w:rFonts w:ascii="Garamond" w:hAnsi="Garamond"/>
        </w:rPr>
        <w:t xml:space="preserve"> </w:t>
      </w:r>
    </w:p>
    <w:p w14:paraId="2DD9E727" w14:textId="77777777" w:rsidR="0040128C" w:rsidRPr="00DA4404" w:rsidRDefault="0040128C" w:rsidP="0040128C">
      <w:pPr>
        <w:pStyle w:val="NormalDoubleSpace"/>
        <w:spacing w:line="240" w:lineRule="auto"/>
        <w:ind w:left="720"/>
        <w:jc w:val="both"/>
        <w:rPr>
          <w:rFonts w:ascii="Garamond" w:hAnsi="Garamond"/>
        </w:rPr>
      </w:pPr>
    </w:p>
    <w:p w14:paraId="1B8586AE" w14:textId="77777777" w:rsidR="0040128C" w:rsidRPr="00DA4404" w:rsidRDefault="0040128C" w:rsidP="00767BBC">
      <w:pPr>
        <w:pStyle w:val="NormalDoubleSpace"/>
        <w:numPr>
          <w:ilvl w:val="0"/>
          <w:numId w:val="5"/>
        </w:numPr>
        <w:spacing w:line="240" w:lineRule="auto"/>
        <w:ind w:left="1080"/>
        <w:jc w:val="both"/>
        <w:rPr>
          <w:rFonts w:ascii="Garamond" w:hAnsi="Garamond"/>
        </w:rPr>
      </w:pPr>
      <w:r w:rsidRPr="00DA4404">
        <w:rPr>
          <w:rFonts w:ascii="Garamond" w:hAnsi="Garamond"/>
        </w:rPr>
        <w:t xml:space="preserve">This right was first recognized by the United States Supreme Court in </w:t>
      </w:r>
      <w:r w:rsidRPr="00DA4404">
        <w:rPr>
          <w:rFonts w:ascii="Garamond" w:hAnsi="Garamond"/>
          <w:i/>
        </w:rPr>
        <w:t>Ake v Oklahoma</w:t>
      </w:r>
      <w:r w:rsidRPr="00DA4404">
        <w:rPr>
          <w:rFonts w:ascii="Garamond" w:hAnsi="Garamond"/>
        </w:rPr>
        <w:t xml:space="preserve">, 470 US 68; 105 S Ct 1087 (1985) and was recently reaffirmed in </w:t>
      </w:r>
      <w:r w:rsidRPr="00DA4404">
        <w:rPr>
          <w:rFonts w:ascii="Garamond" w:hAnsi="Garamond"/>
          <w:i/>
        </w:rPr>
        <w:t>McWilliams v Dunn</w:t>
      </w:r>
      <w:r w:rsidRPr="00DA4404">
        <w:rPr>
          <w:rFonts w:ascii="Garamond" w:hAnsi="Garamond"/>
        </w:rPr>
        <w:t>, __ US __; 137 S Ct 1790 (2017).</w:t>
      </w:r>
    </w:p>
    <w:p w14:paraId="6C8C8DEF" w14:textId="77777777" w:rsidR="0040128C" w:rsidRPr="00DA4404" w:rsidRDefault="0040128C" w:rsidP="0040128C">
      <w:pPr>
        <w:pStyle w:val="ListParagraph"/>
        <w:rPr>
          <w:rFonts w:ascii="Garamond" w:hAnsi="Garamond"/>
        </w:rPr>
      </w:pPr>
    </w:p>
    <w:p w14:paraId="672E0A06" w14:textId="77777777" w:rsidR="0040128C" w:rsidRPr="00DA4404" w:rsidRDefault="0040128C" w:rsidP="00767BBC">
      <w:pPr>
        <w:pStyle w:val="NormalDoubleSpace"/>
        <w:numPr>
          <w:ilvl w:val="0"/>
          <w:numId w:val="5"/>
        </w:numPr>
        <w:spacing w:line="240" w:lineRule="auto"/>
        <w:ind w:left="1080"/>
        <w:jc w:val="both"/>
        <w:rPr>
          <w:rFonts w:ascii="Garamond" w:hAnsi="Garamond"/>
        </w:rPr>
      </w:pPr>
      <w:r w:rsidRPr="00DA4404">
        <w:rPr>
          <w:rFonts w:ascii="Garamond" w:hAnsi="Garamond"/>
        </w:rPr>
        <w:t xml:space="preserve">The </w:t>
      </w:r>
      <w:r w:rsidRPr="00DA4404">
        <w:rPr>
          <w:rFonts w:ascii="Garamond" w:hAnsi="Garamond"/>
          <w:i/>
        </w:rPr>
        <w:t>Kennedy</w:t>
      </w:r>
      <w:r w:rsidRPr="00DA4404">
        <w:rPr>
          <w:rFonts w:ascii="Garamond" w:hAnsi="Garamond"/>
        </w:rPr>
        <w:t xml:space="preserve"> decision is the first time the Michigan Supreme Court has recognized this constitutional right. </w:t>
      </w:r>
      <w:r w:rsidRPr="00DA4404">
        <w:rPr>
          <w:rFonts w:ascii="Garamond" w:hAnsi="Garamond"/>
          <w:i/>
        </w:rPr>
        <w:t>Kennedy</w:t>
      </w:r>
      <w:r w:rsidRPr="00DA4404">
        <w:rPr>
          <w:rFonts w:ascii="Garamond" w:hAnsi="Garamond"/>
        </w:rPr>
        <w:t xml:space="preserve">, 502 </w:t>
      </w:r>
      <w:proofErr w:type="spellStart"/>
      <w:r w:rsidRPr="00DA4404">
        <w:rPr>
          <w:rFonts w:ascii="Garamond" w:hAnsi="Garamond"/>
        </w:rPr>
        <w:t>Mich</w:t>
      </w:r>
      <w:proofErr w:type="spellEnd"/>
      <w:r w:rsidRPr="00DA4404">
        <w:rPr>
          <w:rFonts w:ascii="Garamond" w:hAnsi="Garamond"/>
        </w:rPr>
        <w:t xml:space="preserve"> at 220.</w:t>
      </w:r>
    </w:p>
    <w:p w14:paraId="6C43804A" w14:textId="77777777" w:rsidR="0040128C" w:rsidRPr="00DA4404" w:rsidRDefault="0040128C" w:rsidP="0040128C">
      <w:pPr>
        <w:pStyle w:val="ListParagraph"/>
        <w:rPr>
          <w:rFonts w:ascii="Garamond" w:hAnsi="Garamond"/>
        </w:rPr>
      </w:pPr>
    </w:p>
    <w:p w14:paraId="749D773D" w14:textId="77777777" w:rsidR="0064479C" w:rsidRPr="00DA4404" w:rsidRDefault="00385196" w:rsidP="00767BBC">
      <w:pPr>
        <w:pStyle w:val="NormalDoubleSpace"/>
        <w:numPr>
          <w:ilvl w:val="0"/>
          <w:numId w:val="5"/>
        </w:numPr>
        <w:spacing w:line="240" w:lineRule="auto"/>
        <w:ind w:left="1080"/>
        <w:jc w:val="both"/>
        <w:rPr>
          <w:rFonts w:ascii="Garamond" w:hAnsi="Garamond"/>
        </w:rPr>
      </w:pPr>
      <w:r w:rsidRPr="00DA4404">
        <w:rPr>
          <w:rFonts w:ascii="Garamond" w:hAnsi="Garamond"/>
        </w:rPr>
        <w:t>That expert assistance might include performing independent testing, evaluati</w:t>
      </w:r>
      <w:r w:rsidR="00590058" w:rsidRPr="00DA4404">
        <w:rPr>
          <w:rFonts w:ascii="Garamond" w:hAnsi="Garamond"/>
        </w:rPr>
        <w:t>ng</w:t>
      </w:r>
      <w:r w:rsidRPr="00DA4404">
        <w:rPr>
          <w:rFonts w:ascii="Garamond" w:hAnsi="Garamond"/>
        </w:rPr>
        <w:t xml:space="preserve"> the evidence, </w:t>
      </w:r>
      <w:r w:rsidR="00590058" w:rsidRPr="00DA4404">
        <w:rPr>
          <w:rFonts w:ascii="Garamond" w:hAnsi="Garamond"/>
        </w:rPr>
        <w:t>consulting</w:t>
      </w:r>
      <w:r w:rsidRPr="00DA4404">
        <w:rPr>
          <w:rFonts w:ascii="Garamond" w:hAnsi="Garamond"/>
        </w:rPr>
        <w:t xml:space="preserve"> to help </w:t>
      </w:r>
      <w:r w:rsidR="00590058" w:rsidRPr="00DA4404">
        <w:rPr>
          <w:rFonts w:ascii="Garamond" w:hAnsi="Garamond"/>
        </w:rPr>
        <w:t>prepare a</w:t>
      </w:r>
      <w:r w:rsidRPr="00DA4404">
        <w:rPr>
          <w:rFonts w:ascii="Garamond" w:hAnsi="Garamond"/>
        </w:rPr>
        <w:t xml:space="preserve"> defense</w:t>
      </w:r>
      <w:r w:rsidR="00590058" w:rsidRPr="00DA4404">
        <w:rPr>
          <w:rFonts w:ascii="Garamond" w:hAnsi="Garamond"/>
        </w:rPr>
        <w:t xml:space="preserve"> and </w:t>
      </w:r>
      <w:r w:rsidRPr="00DA4404">
        <w:rPr>
          <w:rFonts w:ascii="Garamond" w:hAnsi="Garamond"/>
        </w:rPr>
        <w:t>for cross-examination of the state’s experts, and testimony</w:t>
      </w:r>
      <w:r w:rsidR="00590058" w:rsidRPr="00DA4404">
        <w:rPr>
          <w:rFonts w:ascii="Garamond" w:hAnsi="Garamond"/>
        </w:rPr>
        <w:t xml:space="preserve">. </w:t>
      </w:r>
      <w:r w:rsidR="0040128C" w:rsidRPr="00DA4404">
        <w:rPr>
          <w:rFonts w:ascii="Garamond" w:hAnsi="Garamond"/>
          <w:i/>
        </w:rPr>
        <w:t>Kennedy</w:t>
      </w:r>
      <w:r w:rsidR="0040128C" w:rsidRPr="00DA4404">
        <w:rPr>
          <w:rFonts w:ascii="Garamond" w:hAnsi="Garamond"/>
        </w:rPr>
        <w:t>,</w:t>
      </w:r>
      <w:r w:rsidR="00E679B4" w:rsidRPr="00DA4404">
        <w:rPr>
          <w:rFonts w:ascii="Garamond" w:hAnsi="Garamond"/>
        </w:rPr>
        <w:t xml:space="preserve"> </w:t>
      </w:r>
      <w:r w:rsidR="0040128C" w:rsidRPr="00DA4404">
        <w:rPr>
          <w:rFonts w:ascii="Garamond" w:hAnsi="Garamond"/>
        </w:rPr>
        <w:t xml:space="preserve">502 </w:t>
      </w:r>
      <w:proofErr w:type="spellStart"/>
      <w:r w:rsidR="0040128C" w:rsidRPr="00DA4404">
        <w:rPr>
          <w:rFonts w:ascii="Garamond" w:hAnsi="Garamond"/>
        </w:rPr>
        <w:t>Mi</w:t>
      </w:r>
      <w:r w:rsidR="00F3733E" w:rsidRPr="00DA4404">
        <w:rPr>
          <w:rFonts w:ascii="Garamond" w:hAnsi="Garamond"/>
        </w:rPr>
        <w:t>ch</w:t>
      </w:r>
      <w:proofErr w:type="spellEnd"/>
      <w:r w:rsidR="00F3733E" w:rsidRPr="00DA4404">
        <w:rPr>
          <w:rFonts w:ascii="Garamond" w:hAnsi="Garamond"/>
        </w:rPr>
        <w:t xml:space="preserve"> at 223</w:t>
      </w:r>
      <w:r w:rsidR="00590058" w:rsidRPr="00DA4404">
        <w:rPr>
          <w:rFonts w:ascii="Garamond" w:hAnsi="Garamond"/>
        </w:rPr>
        <w:t>.</w:t>
      </w:r>
    </w:p>
    <w:p w14:paraId="57F44FC7" w14:textId="77777777" w:rsidR="00385196" w:rsidRPr="00DA4404" w:rsidRDefault="00385196" w:rsidP="00767BBC">
      <w:pPr>
        <w:pStyle w:val="NormalDoubleSpace"/>
        <w:spacing w:line="240" w:lineRule="auto"/>
        <w:ind w:left="1080"/>
        <w:jc w:val="both"/>
        <w:rPr>
          <w:rFonts w:ascii="Garamond" w:hAnsi="Garamond"/>
        </w:rPr>
      </w:pPr>
    </w:p>
    <w:p w14:paraId="52A55F6E" w14:textId="77777777" w:rsidR="00385196" w:rsidRPr="00DA4404" w:rsidRDefault="00385196" w:rsidP="00767BBC">
      <w:pPr>
        <w:pStyle w:val="NormalDoubleSpace"/>
        <w:numPr>
          <w:ilvl w:val="0"/>
          <w:numId w:val="5"/>
        </w:numPr>
        <w:spacing w:line="240" w:lineRule="auto"/>
        <w:ind w:left="1080"/>
        <w:jc w:val="both"/>
        <w:rPr>
          <w:rFonts w:ascii="Garamond" w:hAnsi="Garamond"/>
        </w:rPr>
      </w:pPr>
      <w:r w:rsidRPr="00DA4404">
        <w:rPr>
          <w:rFonts w:ascii="Garamond" w:hAnsi="Garamond"/>
        </w:rPr>
        <w:t>The expert should be independent of the state and available to work as part of the defense team</w:t>
      </w:r>
      <w:r w:rsidR="00590058" w:rsidRPr="00DA4404">
        <w:rPr>
          <w:rFonts w:ascii="Garamond" w:hAnsi="Garamond"/>
        </w:rPr>
        <w:t xml:space="preserve">. See </w:t>
      </w:r>
      <w:r w:rsidR="00590058" w:rsidRPr="00DA4404">
        <w:rPr>
          <w:rFonts w:ascii="Garamond" w:hAnsi="Garamond"/>
          <w:i/>
        </w:rPr>
        <w:t>McWilliams</w:t>
      </w:r>
      <w:r w:rsidR="0040128C" w:rsidRPr="00DA4404">
        <w:rPr>
          <w:rFonts w:ascii="Garamond" w:hAnsi="Garamond"/>
          <w:i/>
        </w:rPr>
        <w:t>,</w:t>
      </w:r>
      <w:r w:rsidR="000844A0" w:rsidRPr="00DA4404">
        <w:rPr>
          <w:rFonts w:ascii="Garamond" w:hAnsi="Garamond"/>
          <w:i/>
        </w:rPr>
        <w:t xml:space="preserve"> </w:t>
      </w:r>
      <w:r w:rsidR="0040128C" w:rsidRPr="00DA4404">
        <w:rPr>
          <w:rFonts w:ascii="Garamond" w:hAnsi="Garamond"/>
        </w:rPr>
        <w:t>137 S Ct at 1793</w:t>
      </w:r>
      <w:r w:rsidR="00590058" w:rsidRPr="00DA4404">
        <w:rPr>
          <w:rFonts w:ascii="Garamond" w:hAnsi="Garamond"/>
        </w:rPr>
        <w:t>.</w:t>
      </w:r>
    </w:p>
    <w:p w14:paraId="2D4AEC82" w14:textId="77777777" w:rsidR="0064479C" w:rsidRPr="00DA4404" w:rsidRDefault="0064479C" w:rsidP="00767BBC">
      <w:pPr>
        <w:pStyle w:val="NormalDoubleSpace"/>
        <w:spacing w:line="240" w:lineRule="auto"/>
        <w:ind w:left="360"/>
        <w:jc w:val="both"/>
        <w:rPr>
          <w:rFonts w:ascii="Garamond" w:hAnsi="Garamond"/>
        </w:rPr>
      </w:pPr>
    </w:p>
    <w:p w14:paraId="2E600022" w14:textId="77777777" w:rsidR="0064479C" w:rsidRPr="00DA4404" w:rsidRDefault="0064479C" w:rsidP="00767BBC">
      <w:pPr>
        <w:pStyle w:val="NormalDoubleSpace"/>
        <w:numPr>
          <w:ilvl w:val="0"/>
          <w:numId w:val="5"/>
        </w:numPr>
        <w:spacing w:line="240" w:lineRule="auto"/>
        <w:ind w:left="360"/>
        <w:jc w:val="both"/>
        <w:rPr>
          <w:rFonts w:ascii="Garamond" w:hAnsi="Garamond"/>
        </w:rPr>
      </w:pPr>
      <w:r w:rsidRPr="00DA4404">
        <w:rPr>
          <w:rFonts w:ascii="Garamond" w:hAnsi="Garamond"/>
        </w:rPr>
        <w:t>MCL 775.15 does not apply to requests for expert assistance at state expense – it is a compulsory process statute.</w:t>
      </w:r>
      <w:r w:rsidR="00590058" w:rsidRPr="00DA4404">
        <w:rPr>
          <w:rFonts w:ascii="Garamond" w:hAnsi="Garamond"/>
        </w:rPr>
        <w:t xml:space="preserve"> </w:t>
      </w:r>
      <w:r w:rsidR="0040128C" w:rsidRPr="00DA4404">
        <w:rPr>
          <w:rFonts w:ascii="Garamond" w:hAnsi="Garamond"/>
          <w:i/>
        </w:rPr>
        <w:t>Kennedy</w:t>
      </w:r>
      <w:r w:rsidR="0040128C" w:rsidRPr="00DA4404">
        <w:rPr>
          <w:rFonts w:ascii="Garamond" w:hAnsi="Garamond"/>
        </w:rPr>
        <w:t>,</w:t>
      </w:r>
      <w:r w:rsidR="00F3733E" w:rsidRPr="00DA4404">
        <w:rPr>
          <w:rFonts w:ascii="Garamond" w:hAnsi="Garamond"/>
        </w:rPr>
        <w:t xml:space="preserve"> 502 </w:t>
      </w:r>
      <w:proofErr w:type="spellStart"/>
      <w:r w:rsidR="00F3733E" w:rsidRPr="00DA4404">
        <w:rPr>
          <w:rFonts w:ascii="Garamond" w:hAnsi="Garamond"/>
        </w:rPr>
        <w:t>Mich</w:t>
      </w:r>
      <w:proofErr w:type="spellEnd"/>
      <w:r w:rsidR="00F3733E" w:rsidRPr="00DA4404">
        <w:rPr>
          <w:rFonts w:ascii="Garamond" w:hAnsi="Garamond"/>
        </w:rPr>
        <w:t xml:space="preserve"> at 225</w:t>
      </w:r>
      <w:r w:rsidR="00590058" w:rsidRPr="00DA4404">
        <w:rPr>
          <w:rFonts w:ascii="Garamond" w:hAnsi="Garamond"/>
        </w:rPr>
        <w:t>.</w:t>
      </w:r>
    </w:p>
    <w:p w14:paraId="33F1E814" w14:textId="77777777" w:rsidR="00590058" w:rsidRPr="00DA4404" w:rsidRDefault="00590058" w:rsidP="00767BBC">
      <w:pPr>
        <w:pStyle w:val="NormalDoubleSpace"/>
        <w:spacing w:line="240" w:lineRule="auto"/>
        <w:ind w:left="360"/>
        <w:jc w:val="both"/>
        <w:rPr>
          <w:rFonts w:ascii="Garamond" w:hAnsi="Garamond"/>
        </w:rPr>
      </w:pPr>
    </w:p>
    <w:p w14:paraId="626104EE" w14:textId="77777777" w:rsidR="0064479C" w:rsidRPr="00DA4404" w:rsidRDefault="0064479C" w:rsidP="00767BBC">
      <w:pPr>
        <w:pStyle w:val="NormalDoubleSpace"/>
        <w:numPr>
          <w:ilvl w:val="0"/>
          <w:numId w:val="5"/>
        </w:numPr>
        <w:tabs>
          <w:tab w:val="left" w:pos="1080"/>
        </w:tabs>
        <w:spacing w:line="240" w:lineRule="auto"/>
        <w:ind w:left="1080"/>
        <w:jc w:val="both"/>
        <w:rPr>
          <w:rFonts w:ascii="Garamond" w:hAnsi="Garamond"/>
        </w:rPr>
      </w:pPr>
      <w:r w:rsidRPr="00DA4404">
        <w:rPr>
          <w:rFonts w:ascii="Garamond" w:hAnsi="Garamond"/>
        </w:rPr>
        <w:t xml:space="preserve">For decades, Michigan courts have misapplied MCL 775.15 as controlling the analysis of such requests, but it is inadequate to give effect to defendants’ rights as explained in </w:t>
      </w:r>
      <w:r w:rsidRPr="00DA4404">
        <w:rPr>
          <w:rFonts w:ascii="Garamond" w:hAnsi="Garamond"/>
          <w:i/>
        </w:rPr>
        <w:t>Ake</w:t>
      </w:r>
      <w:r w:rsidRPr="00DA4404">
        <w:rPr>
          <w:rFonts w:ascii="Garamond" w:hAnsi="Garamond"/>
        </w:rPr>
        <w:t>.</w:t>
      </w:r>
      <w:r w:rsidR="00590058" w:rsidRPr="00DA4404">
        <w:rPr>
          <w:rFonts w:ascii="Garamond" w:hAnsi="Garamond"/>
        </w:rPr>
        <w:t xml:space="preserve"> </w:t>
      </w:r>
      <w:r w:rsidR="0040128C" w:rsidRPr="00DA4404">
        <w:rPr>
          <w:rFonts w:ascii="Garamond" w:hAnsi="Garamond"/>
          <w:i/>
        </w:rPr>
        <w:t>Kennedy</w:t>
      </w:r>
      <w:r w:rsidR="0040128C" w:rsidRPr="00DA4404">
        <w:rPr>
          <w:rFonts w:ascii="Garamond" w:hAnsi="Garamond"/>
        </w:rPr>
        <w:t>,</w:t>
      </w:r>
      <w:r w:rsidR="00F3733E" w:rsidRPr="00DA4404">
        <w:rPr>
          <w:rFonts w:ascii="Garamond" w:hAnsi="Garamond"/>
        </w:rPr>
        <w:t xml:space="preserve"> 502 </w:t>
      </w:r>
      <w:proofErr w:type="spellStart"/>
      <w:r w:rsidR="00F3733E" w:rsidRPr="00DA4404">
        <w:rPr>
          <w:rFonts w:ascii="Garamond" w:hAnsi="Garamond"/>
        </w:rPr>
        <w:t>Mich</w:t>
      </w:r>
      <w:proofErr w:type="spellEnd"/>
      <w:r w:rsidR="00F3733E" w:rsidRPr="00DA4404">
        <w:rPr>
          <w:rFonts w:ascii="Garamond" w:hAnsi="Garamond"/>
        </w:rPr>
        <w:t xml:space="preserve"> at 220-225</w:t>
      </w:r>
      <w:r w:rsidR="00590058" w:rsidRPr="00DA4404">
        <w:rPr>
          <w:rFonts w:ascii="Garamond" w:hAnsi="Garamond"/>
        </w:rPr>
        <w:t>.</w:t>
      </w:r>
    </w:p>
    <w:p w14:paraId="3F070B1B" w14:textId="77777777" w:rsidR="00767BBC" w:rsidRPr="00DA4404" w:rsidRDefault="00767BBC" w:rsidP="00767BBC">
      <w:pPr>
        <w:pStyle w:val="NormalDoubleSpace"/>
        <w:tabs>
          <w:tab w:val="left" w:pos="1080"/>
        </w:tabs>
        <w:spacing w:line="240" w:lineRule="auto"/>
        <w:ind w:left="1080"/>
        <w:jc w:val="both"/>
        <w:rPr>
          <w:rFonts w:ascii="Garamond" w:hAnsi="Garamond"/>
        </w:rPr>
      </w:pPr>
    </w:p>
    <w:p w14:paraId="0C41F330" w14:textId="77777777" w:rsidR="00767BBC" w:rsidRPr="00DA4404" w:rsidRDefault="00767BBC" w:rsidP="00767BBC">
      <w:pPr>
        <w:pStyle w:val="NormalDoubleSpace"/>
        <w:numPr>
          <w:ilvl w:val="0"/>
          <w:numId w:val="5"/>
        </w:numPr>
        <w:tabs>
          <w:tab w:val="left" w:pos="1890"/>
        </w:tabs>
        <w:spacing w:line="240" w:lineRule="auto"/>
        <w:ind w:left="1800"/>
        <w:jc w:val="both"/>
        <w:rPr>
          <w:rFonts w:ascii="Garamond" w:hAnsi="Garamond"/>
        </w:rPr>
      </w:pPr>
      <w:r w:rsidRPr="00DA4404">
        <w:rPr>
          <w:rFonts w:ascii="Garamond" w:hAnsi="Garamond"/>
        </w:rPr>
        <w:t xml:space="preserve">“[T]o the extent that MCL 775.15 could be read as applying to expert witnesses at all, it would only cover a small sliver of what </w:t>
      </w:r>
      <w:r w:rsidRPr="00DA4404">
        <w:rPr>
          <w:rFonts w:ascii="Garamond" w:hAnsi="Garamond"/>
          <w:i/>
        </w:rPr>
        <w:t>Ake</w:t>
      </w:r>
      <w:r w:rsidR="0040128C" w:rsidRPr="00DA4404">
        <w:rPr>
          <w:rFonts w:ascii="Garamond" w:hAnsi="Garamond"/>
        </w:rPr>
        <w:t xml:space="preserve"> requires.” </w:t>
      </w:r>
      <w:r w:rsidR="0040128C" w:rsidRPr="00DA4404">
        <w:rPr>
          <w:rFonts w:ascii="Garamond" w:hAnsi="Garamond"/>
          <w:i/>
        </w:rPr>
        <w:t>Kennedy</w:t>
      </w:r>
      <w:r w:rsidR="0040128C" w:rsidRPr="00DA4404">
        <w:rPr>
          <w:rFonts w:ascii="Garamond" w:hAnsi="Garamond"/>
        </w:rPr>
        <w:t>,</w:t>
      </w:r>
      <w:r w:rsidR="00F3733E" w:rsidRPr="00DA4404">
        <w:rPr>
          <w:rFonts w:ascii="Garamond" w:hAnsi="Garamond"/>
        </w:rPr>
        <w:t xml:space="preserve"> 502 </w:t>
      </w:r>
      <w:proofErr w:type="spellStart"/>
      <w:r w:rsidR="00F3733E" w:rsidRPr="00DA4404">
        <w:rPr>
          <w:rFonts w:ascii="Garamond" w:hAnsi="Garamond"/>
        </w:rPr>
        <w:t>Mich</w:t>
      </w:r>
      <w:proofErr w:type="spellEnd"/>
      <w:r w:rsidR="00F3733E" w:rsidRPr="00DA4404">
        <w:rPr>
          <w:rFonts w:ascii="Garamond" w:hAnsi="Garamond"/>
        </w:rPr>
        <w:t xml:space="preserve"> at 223</w:t>
      </w:r>
      <w:r w:rsidRPr="00DA4404">
        <w:rPr>
          <w:rFonts w:ascii="Garamond" w:hAnsi="Garamond"/>
        </w:rPr>
        <w:t xml:space="preserve"> FN 42.</w:t>
      </w:r>
    </w:p>
    <w:p w14:paraId="591B2CE3" w14:textId="77777777" w:rsidR="00590058" w:rsidRPr="00DA4404" w:rsidRDefault="00590058" w:rsidP="00767BBC">
      <w:pPr>
        <w:pStyle w:val="NormalDoubleSpace"/>
        <w:tabs>
          <w:tab w:val="left" w:pos="1080"/>
        </w:tabs>
        <w:spacing w:line="240" w:lineRule="auto"/>
        <w:ind w:left="1080"/>
        <w:jc w:val="both"/>
        <w:rPr>
          <w:rFonts w:ascii="Garamond" w:hAnsi="Garamond"/>
        </w:rPr>
      </w:pPr>
    </w:p>
    <w:p w14:paraId="0295E001" w14:textId="77777777" w:rsidR="0064479C" w:rsidRPr="00DA4404" w:rsidRDefault="0064479C" w:rsidP="00767BBC">
      <w:pPr>
        <w:pStyle w:val="NormalDoubleSpace"/>
        <w:numPr>
          <w:ilvl w:val="0"/>
          <w:numId w:val="5"/>
        </w:numPr>
        <w:tabs>
          <w:tab w:val="left" w:pos="1080"/>
        </w:tabs>
        <w:spacing w:line="240" w:lineRule="auto"/>
        <w:ind w:left="1080"/>
        <w:jc w:val="both"/>
        <w:rPr>
          <w:rFonts w:ascii="Garamond" w:hAnsi="Garamond"/>
        </w:rPr>
      </w:pPr>
      <w:r w:rsidRPr="00DA4404">
        <w:rPr>
          <w:rFonts w:ascii="Garamond" w:hAnsi="Garamond"/>
          <w:i/>
        </w:rPr>
        <w:t>People v Tanner</w:t>
      </w:r>
      <w:r w:rsidR="00F531D9" w:rsidRPr="00DA4404">
        <w:rPr>
          <w:rFonts w:ascii="Garamond" w:hAnsi="Garamond"/>
        </w:rPr>
        <w:t xml:space="preserve">, 469 </w:t>
      </w:r>
      <w:proofErr w:type="spellStart"/>
      <w:r w:rsidR="00F531D9" w:rsidRPr="00DA4404">
        <w:rPr>
          <w:rFonts w:ascii="Garamond" w:hAnsi="Garamond"/>
        </w:rPr>
        <w:t>Mich</w:t>
      </w:r>
      <w:proofErr w:type="spellEnd"/>
      <w:r w:rsidR="00F531D9" w:rsidRPr="00DA4404">
        <w:rPr>
          <w:rFonts w:ascii="Garamond" w:hAnsi="Garamond"/>
        </w:rPr>
        <w:t xml:space="preserve"> 437; 671 NW2d 728 (2003)</w:t>
      </w:r>
      <w:r w:rsidRPr="00DA4404">
        <w:rPr>
          <w:rFonts w:ascii="Garamond" w:hAnsi="Garamond"/>
        </w:rPr>
        <w:t xml:space="preserve"> and </w:t>
      </w:r>
      <w:r w:rsidRPr="00DA4404">
        <w:rPr>
          <w:rFonts w:ascii="Garamond" w:hAnsi="Garamond"/>
          <w:i/>
        </w:rPr>
        <w:t>People v Jacobsen</w:t>
      </w:r>
      <w:r w:rsidR="00F531D9" w:rsidRPr="00DA4404">
        <w:rPr>
          <w:rFonts w:ascii="Garamond" w:hAnsi="Garamond"/>
        </w:rPr>
        <w:t xml:space="preserve">, 448 </w:t>
      </w:r>
      <w:proofErr w:type="spellStart"/>
      <w:r w:rsidR="00F531D9" w:rsidRPr="00DA4404">
        <w:rPr>
          <w:rFonts w:ascii="Garamond" w:hAnsi="Garamond"/>
        </w:rPr>
        <w:t>Mich</w:t>
      </w:r>
      <w:proofErr w:type="spellEnd"/>
      <w:r w:rsidR="00F531D9" w:rsidRPr="00DA4404">
        <w:rPr>
          <w:rFonts w:ascii="Garamond" w:hAnsi="Garamond"/>
        </w:rPr>
        <w:t xml:space="preserve"> 639; 532 NW2d 838 (1995)</w:t>
      </w:r>
      <w:r w:rsidRPr="00DA4404">
        <w:rPr>
          <w:rFonts w:ascii="Garamond" w:hAnsi="Garamond"/>
        </w:rPr>
        <w:t xml:space="preserve"> are overruled to the extent they conflict with </w:t>
      </w:r>
      <w:r w:rsidRPr="00DA4404">
        <w:rPr>
          <w:rFonts w:ascii="Garamond" w:hAnsi="Garamond"/>
          <w:i/>
        </w:rPr>
        <w:t>Ake</w:t>
      </w:r>
      <w:r w:rsidRPr="00DA4404">
        <w:rPr>
          <w:rFonts w:ascii="Garamond" w:hAnsi="Garamond"/>
        </w:rPr>
        <w:t>.</w:t>
      </w:r>
      <w:r w:rsidR="00590058" w:rsidRPr="00DA4404">
        <w:rPr>
          <w:rFonts w:ascii="Garamond" w:hAnsi="Garamond"/>
        </w:rPr>
        <w:t xml:space="preserve"> </w:t>
      </w:r>
      <w:r w:rsidR="0040128C" w:rsidRPr="00DA4404">
        <w:rPr>
          <w:rFonts w:ascii="Garamond" w:hAnsi="Garamond"/>
          <w:i/>
        </w:rPr>
        <w:t>Kennedy</w:t>
      </w:r>
      <w:r w:rsidR="0040128C" w:rsidRPr="00DA4404">
        <w:rPr>
          <w:rFonts w:ascii="Garamond" w:hAnsi="Garamond"/>
        </w:rPr>
        <w:t xml:space="preserve">, </w:t>
      </w:r>
      <w:r w:rsidR="00F3733E" w:rsidRPr="00DA4404">
        <w:rPr>
          <w:rFonts w:ascii="Garamond" w:hAnsi="Garamond"/>
        </w:rPr>
        <w:t xml:space="preserve">502 </w:t>
      </w:r>
      <w:proofErr w:type="spellStart"/>
      <w:r w:rsidR="00F3733E" w:rsidRPr="00DA4404">
        <w:rPr>
          <w:rFonts w:ascii="Garamond" w:hAnsi="Garamond"/>
        </w:rPr>
        <w:t>Mich</w:t>
      </w:r>
      <w:proofErr w:type="spellEnd"/>
      <w:r w:rsidR="00F3733E" w:rsidRPr="00DA4404">
        <w:rPr>
          <w:rFonts w:ascii="Garamond" w:hAnsi="Garamond"/>
        </w:rPr>
        <w:t xml:space="preserve"> at 225</w:t>
      </w:r>
      <w:r w:rsidR="00590058" w:rsidRPr="00DA4404">
        <w:rPr>
          <w:rFonts w:ascii="Garamond" w:hAnsi="Garamond"/>
        </w:rPr>
        <w:t>.</w:t>
      </w:r>
    </w:p>
    <w:p w14:paraId="4ABF2A2E" w14:textId="77777777" w:rsidR="00F531D9" w:rsidRPr="00DA4404" w:rsidRDefault="00385196" w:rsidP="00F531D9">
      <w:pPr>
        <w:pStyle w:val="NormalDoubleSpace"/>
        <w:numPr>
          <w:ilvl w:val="0"/>
          <w:numId w:val="5"/>
        </w:numPr>
        <w:spacing w:before="240" w:line="240" w:lineRule="auto"/>
        <w:ind w:left="360"/>
        <w:jc w:val="both"/>
        <w:rPr>
          <w:rFonts w:ascii="Garamond" w:hAnsi="Garamond"/>
        </w:rPr>
      </w:pPr>
      <w:r w:rsidRPr="00DA4404">
        <w:rPr>
          <w:rFonts w:ascii="Garamond" w:hAnsi="Garamond"/>
        </w:rPr>
        <w:t xml:space="preserve">The right to expert assistance applies equally to experts in various fields (i.e. is not limited to psychiatric experts as discussed in </w:t>
      </w:r>
      <w:r w:rsidRPr="00DA4404">
        <w:rPr>
          <w:rFonts w:ascii="Garamond" w:hAnsi="Garamond"/>
          <w:i/>
        </w:rPr>
        <w:t>Ake</w:t>
      </w:r>
      <w:r w:rsidRPr="00DA4404">
        <w:rPr>
          <w:rFonts w:ascii="Garamond" w:hAnsi="Garamond"/>
        </w:rPr>
        <w:t>)</w:t>
      </w:r>
      <w:r w:rsidR="00590058" w:rsidRPr="00DA4404">
        <w:rPr>
          <w:rFonts w:ascii="Garamond" w:hAnsi="Garamond"/>
        </w:rPr>
        <w:t xml:space="preserve">. </w:t>
      </w:r>
      <w:r w:rsidR="0040128C" w:rsidRPr="00DA4404">
        <w:rPr>
          <w:rFonts w:ascii="Garamond" w:hAnsi="Garamond"/>
          <w:i/>
        </w:rPr>
        <w:t>Kennedy</w:t>
      </w:r>
      <w:r w:rsidR="0040128C" w:rsidRPr="00DA4404">
        <w:rPr>
          <w:rFonts w:ascii="Garamond" w:hAnsi="Garamond"/>
        </w:rPr>
        <w:t>,</w:t>
      </w:r>
      <w:r w:rsidR="00F3733E" w:rsidRPr="00DA4404">
        <w:rPr>
          <w:rFonts w:ascii="Garamond" w:hAnsi="Garamond"/>
        </w:rPr>
        <w:t xml:space="preserve"> 502 </w:t>
      </w:r>
      <w:proofErr w:type="spellStart"/>
      <w:r w:rsidR="00F3733E" w:rsidRPr="00DA4404">
        <w:rPr>
          <w:rFonts w:ascii="Garamond" w:hAnsi="Garamond"/>
        </w:rPr>
        <w:t>Mich</w:t>
      </w:r>
      <w:proofErr w:type="spellEnd"/>
      <w:r w:rsidR="00F3733E" w:rsidRPr="00DA4404">
        <w:rPr>
          <w:rFonts w:ascii="Garamond" w:hAnsi="Garamond"/>
        </w:rPr>
        <w:t xml:space="preserve"> at 219-220</w:t>
      </w:r>
      <w:r w:rsidR="00F531D9" w:rsidRPr="00DA4404">
        <w:rPr>
          <w:rFonts w:ascii="Garamond" w:hAnsi="Garamond"/>
        </w:rPr>
        <w:t xml:space="preserve">; see also </w:t>
      </w:r>
      <w:r w:rsidR="00F531D9" w:rsidRPr="00DA4404">
        <w:rPr>
          <w:rFonts w:ascii="Garamond" w:hAnsi="Garamond"/>
          <w:i/>
        </w:rPr>
        <w:t>State v Wang</w:t>
      </w:r>
      <w:r w:rsidR="00F531D9" w:rsidRPr="00DA4404">
        <w:rPr>
          <w:rFonts w:ascii="Garamond" w:hAnsi="Garamond"/>
        </w:rPr>
        <w:t>, 312 Conn 222, 235 FN 15; 92 A 3d 220 (2014) (compiling decisions from various jurisdictions holding the same)</w:t>
      </w:r>
      <w:r w:rsidR="00590058" w:rsidRPr="00DA4404">
        <w:rPr>
          <w:rFonts w:ascii="Garamond" w:hAnsi="Garamond"/>
        </w:rPr>
        <w:t>.</w:t>
      </w:r>
    </w:p>
    <w:p w14:paraId="22C1F9D0" w14:textId="77777777" w:rsidR="00385196" w:rsidRPr="00DA4404" w:rsidRDefault="00385196" w:rsidP="00F531D9">
      <w:pPr>
        <w:pStyle w:val="NormalDoubleSpace"/>
        <w:numPr>
          <w:ilvl w:val="0"/>
          <w:numId w:val="5"/>
        </w:numPr>
        <w:spacing w:before="240" w:line="240" w:lineRule="auto"/>
        <w:ind w:left="360"/>
        <w:jc w:val="both"/>
        <w:rPr>
          <w:rFonts w:ascii="Garamond" w:hAnsi="Garamond"/>
        </w:rPr>
      </w:pPr>
      <w:r w:rsidRPr="00DA4404">
        <w:rPr>
          <w:rFonts w:ascii="Garamond" w:hAnsi="Garamond"/>
        </w:rPr>
        <w:t>The right to expert assistance is not limited to capital cases</w:t>
      </w:r>
      <w:r w:rsidR="00590058" w:rsidRPr="00DA4404">
        <w:rPr>
          <w:rFonts w:ascii="Garamond" w:hAnsi="Garamond"/>
        </w:rPr>
        <w:t>.</w:t>
      </w:r>
      <w:r w:rsidR="0040128C" w:rsidRPr="00DA4404">
        <w:rPr>
          <w:rFonts w:ascii="Garamond" w:hAnsi="Garamond"/>
        </w:rPr>
        <w:t xml:space="preserve"> </w:t>
      </w:r>
      <w:r w:rsidR="0040128C" w:rsidRPr="00DA4404">
        <w:rPr>
          <w:rFonts w:ascii="Garamond" w:hAnsi="Garamond"/>
          <w:i/>
        </w:rPr>
        <w:t>Kennedy</w:t>
      </w:r>
      <w:r w:rsidR="0040128C" w:rsidRPr="00DA4404">
        <w:rPr>
          <w:rFonts w:ascii="Garamond" w:hAnsi="Garamond"/>
        </w:rPr>
        <w:t xml:space="preserve">, </w:t>
      </w:r>
      <w:r w:rsidR="00F3733E" w:rsidRPr="00DA4404">
        <w:rPr>
          <w:rFonts w:ascii="Garamond" w:hAnsi="Garamond"/>
        </w:rPr>
        <w:t xml:space="preserve">502 </w:t>
      </w:r>
      <w:proofErr w:type="spellStart"/>
      <w:r w:rsidR="00F3733E" w:rsidRPr="00DA4404">
        <w:rPr>
          <w:rFonts w:ascii="Garamond" w:hAnsi="Garamond"/>
        </w:rPr>
        <w:t>Mich</w:t>
      </w:r>
      <w:proofErr w:type="spellEnd"/>
      <w:r w:rsidR="00F3733E" w:rsidRPr="00DA4404">
        <w:rPr>
          <w:rFonts w:ascii="Garamond" w:hAnsi="Garamond"/>
        </w:rPr>
        <w:t xml:space="preserve"> at 219-220</w:t>
      </w:r>
      <w:r w:rsidR="00F531D9" w:rsidRPr="00DA4404">
        <w:rPr>
          <w:rFonts w:ascii="Garamond" w:hAnsi="Garamond"/>
        </w:rPr>
        <w:t xml:space="preserve">; see also </w:t>
      </w:r>
      <w:r w:rsidR="00F531D9" w:rsidRPr="00DA4404">
        <w:rPr>
          <w:rFonts w:ascii="Garamond" w:hAnsi="Garamond"/>
          <w:i/>
        </w:rPr>
        <w:t>Wang</w:t>
      </w:r>
      <w:r w:rsidR="00F531D9" w:rsidRPr="00DA4404">
        <w:rPr>
          <w:rFonts w:ascii="Garamond" w:hAnsi="Garamond"/>
        </w:rPr>
        <w:t>, 312 Conn at 235 FN 14 (compiling decisions from various jurisdictions holding the same).</w:t>
      </w:r>
    </w:p>
    <w:p w14:paraId="0699558A" w14:textId="77777777" w:rsidR="00385196" w:rsidRPr="00DA4404" w:rsidRDefault="00385196" w:rsidP="00767BBC">
      <w:pPr>
        <w:pStyle w:val="NormalDoubleSpace"/>
        <w:numPr>
          <w:ilvl w:val="0"/>
          <w:numId w:val="5"/>
        </w:numPr>
        <w:spacing w:before="240" w:line="240" w:lineRule="auto"/>
        <w:ind w:left="360"/>
        <w:jc w:val="both"/>
        <w:rPr>
          <w:rFonts w:ascii="Garamond" w:hAnsi="Garamond"/>
        </w:rPr>
      </w:pPr>
      <w:r w:rsidRPr="00DA4404">
        <w:rPr>
          <w:rFonts w:ascii="Garamond" w:hAnsi="Garamond"/>
        </w:rPr>
        <w:lastRenderedPageBreak/>
        <w:t>The M</w:t>
      </w:r>
      <w:r w:rsidR="00F531D9" w:rsidRPr="00DA4404">
        <w:rPr>
          <w:rFonts w:ascii="Garamond" w:hAnsi="Garamond"/>
        </w:rPr>
        <w:t xml:space="preserve">ichigan </w:t>
      </w:r>
      <w:r w:rsidRPr="00DA4404">
        <w:rPr>
          <w:rFonts w:ascii="Garamond" w:hAnsi="Garamond"/>
        </w:rPr>
        <w:t>S</w:t>
      </w:r>
      <w:r w:rsidR="00F531D9" w:rsidRPr="00DA4404">
        <w:rPr>
          <w:rFonts w:ascii="Garamond" w:hAnsi="Garamond"/>
        </w:rPr>
        <w:t xml:space="preserve">upreme </w:t>
      </w:r>
      <w:r w:rsidRPr="00DA4404">
        <w:rPr>
          <w:rFonts w:ascii="Garamond" w:hAnsi="Garamond"/>
        </w:rPr>
        <w:t>C</w:t>
      </w:r>
      <w:r w:rsidR="00F531D9" w:rsidRPr="00DA4404">
        <w:rPr>
          <w:rFonts w:ascii="Garamond" w:hAnsi="Garamond"/>
        </w:rPr>
        <w:t>ourt</w:t>
      </w:r>
      <w:r w:rsidRPr="00DA4404">
        <w:rPr>
          <w:rFonts w:ascii="Garamond" w:hAnsi="Garamond"/>
        </w:rPr>
        <w:t xml:space="preserve"> adopt</w:t>
      </w:r>
      <w:r w:rsidR="00F531D9" w:rsidRPr="00DA4404">
        <w:rPr>
          <w:rFonts w:ascii="Garamond" w:hAnsi="Garamond"/>
        </w:rPr>
        <w:t>ed</w:t>
      </w:r>
      <w:r w:rsidRPr="00DA4404">
        <w:rPr>
          <w:rFonts w:ascii="Garamond" w:hAnsi="Garamond"/>
        </w:rPr>
        <w:t xml:space="preserve"> the standard applied by </w:t>
      </w:r>
      <w:proofErr w:type="gramStart"/>
      <w:r w:rsidRPr="00DA4404">
        <w:rPr>
          <w:rFonts w:ascii="Garamond" w:hAnsi="Garamond"/>
        </w:rPr>
        <w:t>the majority of</w:t>
      </w:r>
      <w:proofErr w:type="gramEnd"/>
      <w:r w:rsidRPr="00DA4404">
        <w:rPr>
          <w:rFonts w:ascii="Garamond" w:hAnsi="Garamond"/>
        </w:rPr>
        <w:t xml:space="preserve"> jurisdictions to determine when an indigent defendant is entitled to expert assistance at state expense.</w:t>
      </w:r>
      <w:r w:rsidR="00BA4996" w:rsidRPr="00DA4404">
        <w:rPr>
          <w:rFonts w:ascii="Garamond" w:hAnsi="Garamond"/>
        </w:rPr>
        <w:t xml:space="preserve"> </w:t>
      </w:r>
      <w:r w:rsidR="0040128C" w:rsidRPr="00DA4404">
        <w:rPr>
          <w:rFonts w:ascii="Garamond" w:hAnsi="Garamond"/>
          <w:i/>
        </w:rPr>
        <w:t>Kennedy</w:t>
      </w:r>
      <w:r w:rsidR="0040128C" w:rsidRPr="00DA4404">
        <w:rPr>
          <w:rFonts w:ascii="Garamond" w:hAnsi="Garamond"/>
        </w:rPr>
        <w:t xml:space="preserve">, </w:t>
      </w:r>
      <w:r w:rsidR="00EB3091" w:rsidRPr="00DA4404">
        <w:rPr>
          <w:rFonts w:ascii="Garamond" w:hAnsi="Garamond"/>
        </w:rPr>
        <w:t xml:space="preserve">502 </w:t>
      </w:r>
      <w:proofErr w:type="spellStart"/>
      <w:r w:rsidR="00EB3091" w:rsidRPr="00DA4404">
        <w:rPr>
          <w:rFonts w:ascii="Garamond" w:hAnsi="Garamond"/>
        </w:rPr>
        <w:t>Mich</w:t>
      </w:r>
      <w:proofErr w:type="spellEnd"/>
      <w:r w:rsidR="00EB3091" w:rsidRPr="00DA4404">
        <w:rPr>
          <w:rFonts w:ascii="Garamond" w:hAnsi="Garamond"/>
        </w:rPr>
        <w:t xml:space="preserve"> at 227-228</w:t>
      </w:r>
      <w:r w:rsidR="00590058" w:rsidRPr="00DA4404">
        <w:rPr>
          <w:rFonts w:ascii="Garamond" w:hAnsi="Garamond"/>
        </w:rPr>
        <w:t xml:space="preserve">. </w:t>
      </w:r>
      <w:r w:rsidRPr="00DA4404">
        <w:rPr>
          <w:rFonts w:ascii="Garamond" w:hAnsi="Garamond"/>
        </w:rPr>
        <w:t>An indigent defendant must show:</w:t>
      </w:r>
      <w:r w:rsidR="00590058" w:rsidRPr="00DA4404">
        <w:rPr>
          <w:rFonts w:ascii="Garamond" w:hAnsi="Garamond"/>
        </w:rPr>
        <w:t xml:space="preserve"> </w:t>
      </w:r>
    </w:p>
    <w:p w14:paraId="437352B8" w14:textId="77777777" w:rsidR="00590058" w:rsidRPr="00DA4404" w:rsidRDefault="00590058" w:rsidP="00616ADF">
      <w:pPr>
        <w:pStyle w:val="NormalDoubleSpace"/>
        <w:spacing w:before="240" w:line="240" w:lineRule="auto"/>
        <w:ind w:left="1440" w:right="1440"/>
        <w:jc w:val="both"/>
        <w:rPr>
          <w:rFonts w:ascii="Garamond" w:hAnsi="Garamond"/>
        </w:rPr>
      </w:pPr>
      <w:r w:rsidRPr="00DA4404">
        <w:rPr>
          <w:rFonts w:ascii="Garamond" w:hAnsi="Garamond"/>
        </w:rPr>
        <w:t>...a defendant must show the trial court that there exists a reasonable probability both that an expert would be of assistance to the defense and that denial of expert assistance would result in a fundamentally unfair trial.</w:t>
      </w:r>
    </w:p>
    <w:p w14:paraId="3A39308A" w14:textId="77777777" w:rsidR="00F531D9" w:rsidRPr="00DA4404" w:rsidRDefault="0040128C" w:rsidP="00767BBC">
      <w:pPr>
        <w:pStyle w:val="NormalDoubleSpace"/>
        <w:spacing w:before="240" w:line="240" w:lineRule="auto"/>
        <w:ind w:left="360"/>
        <w:jc w:val="both"/>
        <w:rPr>
          <w:rFonts w:ascii="Garamond" w:hAnsi="Garamond"/>
        </w:rPr>
      </w:pPr>
      <w:r w:rsidRPr="00DA4404">
        <w:rPr>
          <w:rFonts w:ascii="Garamond" w:hAnsi="Garamond"/>
          <w:i/>
        </w:rPr>
        <w:t>Kennedy</w:t>
      </w:r>
      <w:r w:rsidRPr="00DA4404">
        <w:rPr>
          <w:rFonts w:ascii="Garamond" w:hAnsi="Garamond"/>
        </w:rPr>
        <w:t>,</w:t>
      </w:r>
      <w:r w:rsidR="00EB3091" w:rsidRPr="00DA4404">
        <w:rPr>
          <w:rFonts w:ascii="Garamond" w:hAnsi="Garamond"/>
        </w:rPr>
        <w:t xml:space="preserve"> 502 </w:t>
      </w:r>
      <w:proofErr w:type="spellStart"/>
      <w:r w:rsidR="00EB3091" w:rsidRPr="00DA4404">
        <w:rPr>
          <w:rFonts w:ascii="Garamond" w:hAnsi="Garamond"/>
        </w:rPr>
        <w:t>Mich</w:t>
      </w:r>
      <w:proofErr w:type="spellEnd"/>
      <w:r w:rsidR="00EB3091" w:rsidRPr="00DA4404">
        <w:rPr>
          <w:rFonts w:ascii="Garamond" w:hAnsi="Garamond"/>
        </w:rPr>
        <w:t xml:space="preserve"> at 227</w:t>
      </w:r>
      <w:r w:rsidR="00590058" w:rsidRPr="00DA4404">
        <w:rPr>
          <w:rFonts w:ascii="Garamond" w:hAnsi="Garamond"/>
        </w:rPr>
        <w:t xml:space="preserve">, citing </w:t>
      </w:r>
      <w:r w:rsidR="00590058" w:rsidRPr="00DA4404">
        <w:rPr>
          <w:rFonts w:ascii="Garamond" w:hAnsi="Garamond"/>
          <w:i/>
        </w:rPr>
        <w:t>Moore v Kemp</w:t>
      </w:r>
      <w:r w:rsidR="00590058" w:rsidRPr="00DA4404">
        <w:rPr>
          <w:rFonts w:ascii="Garamond" w:hAnsi="Garamond"/>
        </w:rPr>
        <w:t>, 809 F2d 702 (CA 11, 1987).</w:t>
      </w:r>
      <w:r w:rsidR="00616ADF" w:rsidRPr="00DA4404">
        <w:rPr>
          <w:rFonts w:ascii="Garamond" w:hAnsi="Garamond"/>
        </w:rPr>
        <w:t xml:space="preserve"> This is basically a materiality requirement, </w:t>
      </w:r>
      <w:r w:rsidR="00F531D9" w:rsidRPr="00DA4404">
        <w:rPr>
          <w:rFonts w:ascii="Garamond" w:hAnsi="Garamond"/>
        </w:rPr>
        <w:t xml:space="preserve">much like the one </w:t>
      </w:r>
      <w:proofErr w:type="gramStart"/>
      <w:r w:rsidR="00F531D9" w:rsidRPr="00DA4404">
        <w:rPr>
          <w:rFonts w:ascii="Garamond" w:hAnsi="Garamond"/>
        </w:rPr>
        <w:t>defendants</w:t>
      </w:r>
      <w:proofErr w:type="gramEnd"/>
      <w:r w:rsidR="00F531D9" w:rsidRPr="00DA4404">
        <w:rPr>
          <w:rFonts w:ascii="Garamond" w:hAnsi="Garamond"/>
        </w:rPr>
        <w:t xml:space="preserve"> must meet under </w:t>
      </w:r>
      <w:r w:rsidR="00F531D9" w:rsidRPr="00DA4404">
        <w:rPr>
          <w:rFonts w:ascii="Garamond" w:hAnsi="Garamond"/>
          <w:i/>
        </w:rPr>
        <w:t>Brady v Maryland,</w:t>
      </w:r>
      <w:r w:rsidR="00F531D9" w:rsidRPr="00DA4404">
        <w:rPr>
          <w:rFonts w:ascii="Garamond" w:hAnsi="Garamond"/>
        </w:rPr>
        <w:t xml:space="preserve"> 373 US 83; 83 S Ct 1194 (1963). The </w:t>
      </w:r>
      <w:r w:rsidR="00F531D9" w:rsidRPr="00DA4404">
        <w:rPr>
          <w:rFonts w:ascii="Garamond" w:hAnsi="Garamond"/>
          <w:i/>
        </w:rPr>
        <w:t xml:space="preserve">Moore </w:t>
      </w:r>
      <w:r w:rsidR="00F531D9" w:rsidRPr="00DA4404">
        <w:rPr>
          <w:rFonts w:ascii="Garamond" w:hAnsi="Garamond"/>
        </w:rPr>
        <w:t xml:space="preserve">standard requires that </w:t>
      </w:r>
      <w:r w:rsidR="00616ADF" w:rsidRPr="00DA4404">
        <w:rPr>
          <w:rFonts w:ascii="Garamond" w:hAnsi="Garamond"/>
        </w:rPr>
        <w:t>the indigent defendant show the need for expert assistance is tied to the facts of the case</w:t>
      </w:r>
      <w:r w:rsidR="00F531D9" w:rsidRPr="00DA4404">
        <w:rPr>
          <w:rFonts w:ascii="Garamond" w:hAnsi="Garamond"/>
        </w:rPr>
        <w:t>,</w:t>
      </w:r>
      <w:r w:rsidR="00616ADF" w:rsidRPr="00DA4404">
        <w:rPr>
          <w:rFonts w:ascii="Garamond" w:hAnsi="Garamond"/>
        </w:rPr>
        <w:t xml:space="preserve"> or the evidence to be relied upon by the </w:t>
      </w:r>
      <w:proofErr w:type="gramStart"/>
      <w:r w:rsidR="00616ADF" w:rsidRPr="00DA4404">
        <w:rPr>
          <w:rFonts w:ascii="Garamond" w:hAnsi="Garamond"/>
        </w:rPr>
        <w:t>prosecution</w:t>
      </w:r>
      <w:r w:rsidR="00F531D9" w:rsidRPr="00DA4404">
        <w:rPr>
          <w:rFonts w:ascii="Garamond" w:hAnsi="Garamond"/>
        </w:rPr>
        <w:t>,</w:t>
      </w:r>
      <w:r w:rsidR="00616ADF" w:rsidRPr="00DA4404">
        <w:rPr>
          <w:rFonts w:ascii="Garamond" w:hAnsi="Garamond"/>
        </w:rPr>
        <w:t xml:space="preserve"> or</w:t>
      </w:r>
      <w:proofErr w:type="gramEnd"/>
      <w:r w:rsidR="00616ADF" w:rsidRPr="00DA4404">
        <w:rPr>
          <w:rFonts w:ascii="Garamond" w:hAnsi="Garamond"/>
        </w:rPr>
        <w:t xml:space="preserve"> is necessary for an affirmative defense. </w:t>
      </w:r>
    </w:p>
    <w:p w14:paraId="3F07F3DA" w14:textId="77777777" w:rsidR="00385196" w:rsidRPr="00DA4404" w:rsidRDefault="00616ADF" w:rsidP="00767BBC">
      <w:pPr>
        <w:pStyle w:val="NormalDoubleSpace"/>
        <w:spacing w:before="240" w:line="240" w:lineRule="auto"/>
        <w:ind w:left="360"/>
        <w:jc w:val="both"/>
        <w:rPr>
          <w:rFonts w:ascii="Garamond" w:hAnsi="Garamond"/>
        </w:rPr>
      </w:pPr>
      <w:r w:rsidRPr="00DA4404">
        <w:rPr>
          <w:rFonts w:ascii="Garamond" w:hAnsi="Garamond"/>
        </w:rPr>
        <w:t>H</w:t>
      </w:r>
      <w:r w:rsidR="00590058" w:rsidRPr="00DA4404">
        <w:rPr>
          <w:rFonts w:ascii="Garamond" w:hAnsi="Garamond"/>
        </w:rPr>
        <w:t>ere is a more detailed explanation of the required showing:</w:t>
      </w:r>
    </w:p>
    <w:p w14:paraId="2F22C43E" w14:textId="77777777" w:rsidR="00616ADF" w:rsidRPr="00DA4404" w:rsidRDefault="00616ADF" w:rsidP="00616ADF">
      <w:pPr>
        <w:pStyle w:val="NormalDoubleSpace"/>
        <w:spacing w:before="240" w:line="240" w:lineRule="auto"/>
        <w:ind w:left="1440" w:right="1440"/>
        <w:jc w:val="both"/>
        <w:rPr>
          <w:rFonts w:ascii="Garamond" w:hAnsi="Garamond"/>
        </w:rPr>
      </w:pPr>
      <w:r w:rsidRPr="00DA4404">
        <w:rPr>
          <w:rFonts w:ascii="Garamond" w:hAnsi="Garamond"/>
        </w:rPr>
        <w:t>[A] defendant must demonstrate something more than a mere possibility of assistance from a requested expert; due process does not require the government automatically to provide indigent defendants with expert assistance upon demand. Rather</w:t>
      </w:r>
      <w:r w:rsidR="00767BBC" w:rsidRPr="00DA4404">
        <w:rPr>
          <w:rFonts w:ascii="Garamond" w:hAnsi="Garamond"/>
        </w:rPr>
        <w:t>...</w:t>
      </w:r>
      <w:r w:rsidRPr="00DA4404">
        <w:rPr>
          <w:rFonts w:ascii="Garamond" w:hAnsi="Garamond"/>
        </w:rPr>
        <w:t xml:space="preserve">a defendant must show the trial court that there exists a reasonable probability both that an expert would be of assistance to the defense and that denial of expert assistance would result in a fundamentally unfair trial. Thus, if a defendant wants an expert to assist his attorney in confronting the prosecution’s proof—by preparing counsel to cross-examine the prosecution’s experts or by providing rebuttal testimony—he must inform the court of the nature of the prosecution’s case and how the requested expert would be useful. At the very least, he must inform the trial court about the nature of the crime and the evidence linking him to the crime. By the same token, if the defendant desires the appointment of an expert so that he can present an affirmative defense, such as insanity, he must demonstrate a substantial basis for the defense, as the defendant did in </w:t>
      </w:r>
      <w:r w:rsidRPr="00DA4404">
        <w:rPr>
          <w:rFonts w:ascii="Garamond" w:hAnsi="Garamond"/>
          <w:i/>
        </w:rPr>
        <w:t>Ake</w:t>
      </w:r>
      <w:r w:rsidRPr="00DA4404">
        <w:rPr>
          <w:rFonts w:ascii="Garamond" w:hAnsi="Garamond"/>
        </w:rPr>
        <w:t xml:space="preserve">. In each instance, the defendant’s showing must also include a specific description of the expert or experts desired; without this basic information, the court would be unable to grant the defendant’s motion, because the court would not know what type of expert was needed. In addition, the defendant should inform the court why the </w:t>
      </w:r>
      <w:proofErr w:type="gramStart"/>
      <w:r w:rsidRPr="00DA4404">
        <w:rPr>
          <w:rFonts w:ascii="Garamond" w:hAnsi="Garamond"/>
        </w:rPr>
        <w:t>particular expert</w:t>
      </w:r>
      <w:proofErr w:type="gramEnd"/>
      <w:r w:rsidRPr="00DA4404">
        <w:rPr>
          <w:rFonts w:ascii="Garamond" w:hAnsi="Garamond"/>
        </w:rPr>
        <w:t xml:space="preserve"> is necessary. We recognize that defense counsel may be unfamiliar with the specific scientific theories implicated in a case and therefore cannot be expected to provide the court with a detailed analysis of the assistance an appointed expert might provide. We do believe, however, that defense counsel is obligated to inform himself about the specific scientific area in question and to provide the court with as much information as possible concerning the usefulness of the requested expert to the defense’s case.</w:t>
      </w:r>
    </w:p>
    <w:p w14:paraId="63CF5464" w14:textId="77777777" w:rsidR="00616ADF" w:rsidRPr="00DA4404" w:rsidRDefault="0040128C" w:rsidP="00767BBC">
      <w:pPr>
        <w:pStyle w:val="NormalDoubleSpace"/>
        <w:spacing w:before="240" w:line="240" w:lineRule="auto"/>
        <w:ind w:left="360" w:right="1440"/>
        <w:jc w:val="both"/>
        <w:rPr>
          <w:rFonts w:ascii="Garamond" w:hAnsi="Garamond"/>
        </w:rPr>
      </w:pPr>
      <w:r w:rsidRPr="00DA4404">
        <w:rPr>
          <w:rFonts w:ascii="Garamond" w:hAnsi="Garamond"/>
          <w:i/>
        </w:rPr>
        <w:t>Kennedy</w:t>
      </w:r>
      <w:r w:rsidRPr="00DA4404">
        <w:rPr>
          <w:rFonts w:ascii="Garamond" w:hAnsi="Garamond"/>
        </w:rPr>
        <w:t>,</w:t>
      </w:r>
      <w:r w:rsidR="00EB3091" w:rsidRPr="00DA4404">
        <w:rPr>
          <w:rFonts w:ascii="Garamond" w:hAnsi="Garamond"/>
        </w:rPr>
        <w:t xml:space="preserve"> 502 </w:t>
      </w:r>
      <w:proofErr w:type="spellStart"/>
      <w:r w:rsidR="00EB3091" w:rsidRPr="00DA4404">
        <w:rPr>
          <w:rFonts w:ascii="Garamond" w:hAnsi="Garamond"/>
        </w:rPr>
        <w:t>Mich</w:t>
      </w:r>
      <w:proofErr w:type="spellEnd"/>
      <w:r w:rsidR="00EB3091" w:rsidRPr="00DA4404">
        <w:rPr>
          <w:rFonts w:ascii="Garamond" w:hAnsi="Garamond"/>
        </w:rPr>
        <w:t xml:space="preserve"> at 227</w:t>
      </w:r>
      <w:r w:rsidR="00865A9B" w:rsidRPr="00DA4404">
        <w:rPr>
          <w:rFonts w:ascii="Garamond" w:hAnsi="Garamond"/>
        </w:rPr>
        <w:t xml:space="preserve">, quoting </w:t>
      </w:r>
      <w:r w:rsidR="00865A9B" w:rsidRPr="00DA4404">
        <w:rPr>
          <w:rFonts w:ascii="Garamond" w:hAnsi="Garamond"/>
          <w:i/>
        </w:rPr>
        <w:t>Moore</w:t>
      </w:r>
      <w:r w:rsidR="00F91822" w:rsidRPr="00DA4404">
        <w:rPr>
          <w:rFonts w:ascii="Garamond" w:hAnsi="Garamond"/>
        </w:rPr>
        <w:t xml:space="preserve">, 809 </w:t>
      </w:r>
      <w:r w:rsidR="00865A9B" w:rsidRPr="00DA4404">
        <w:rPr>
          <w:rFonts w:ascii="Garamond" w:hAnsi="Garamond"/>
        </w:rPr>
        <w:t xml:space="preserve">F2d </w:t>
      </w:r>
      <w:r w:rsidR="00F91822" w:rsidRPr="00DA4404">
        <w:rPr>
          <w:rFonts w:ascii="Garamond" w:hAnsi="Garamond"/>
        </w:rPr>
        <w:t xml:space="preserve">at </w:t>
      </w:r>
      <w:r w:rsidR="00865A9B" w:rsidRPr="00DA4404">
        <w:rPr>
          <w:rFonts w:ascii="Garamond" w:hAnsi="Garamond"/>
        </w:rPr>
        <w:t>7</w:t>
      </w:r>
      <w:r w:rsidR="00F91822" w:rsidRPr="00DA4404">
        <w:rPr>
          <w:rFonts w:ascii="Garamond" w:hAnsi="Garamond"/>
        </w:rPr>
        <w:t>1</w:t>
      </w:r>
      <w:r w:rsidR="00865A9B" w:rsidRPr="00DA4404">
        <w:rPr>
          <w:rFonts w:ascii="Garamond" w:hAnsi="Garamond"/>
        </w:rPr>
        <w:t>2.</w:t>
      </w:r>
    </w:p>
    <w:p w14:paraId="23E56050" w14:textId="77777777" w:rsidR="0064479C" w:rsidRPr="00DA4404" w:rsidRDefault="0064479C" w:rsidP="00616ADF">
      <w:pPr>
        <w:pStyle w:val="NormalDoubleSpace"/>
        <w:spacing w:line="240" w:lineRule="auto"/>
        <w:jc w:val="both"/>
        <w:rPr>
          <w:rFonts w:ascii="Garamond" w:hAnsi="Garamond"/>
          <w:b/>
          <w:u w:val="single"/>
        </w:rPr>
      </w:pPr>
      <w:r w:rsidRPr="00DA4404">
        <w:rPr>
          <w:rFonts w:ascii="Garamond" w:hAnsi="Garamond"/>
          <w:b/>
          <w:u w:val="single"/>
        </w:rPr>
        <w:lastRenderedPageBreak/>
        <w:t>Thoughts:</w:t>
      </w:r>
    </w:p>
    <w:p w14:paraId="31ACAAB0" w14:textId="77777777" w:rsidR="0064479C" w:rsidRPr="00DA4404" w:rsidRDefault="0064479C" w:rsidP="00616ADF">
      <w:pPr>
        <w:pStyle w:val="NormalDoubleSpace"/>
        <w:spacing w:line="240" w:lineRule="auto"/>
        <w:jc w:val="both"/>
        <w:rPr>
          <w:rFonts w:ascii="Garamond" w:hAnsi="Garamond"/>
        </w:rPr>
      </w:pPr>
    </w:p>
    <w:p w14:paraId="481D02AB" w14:textId="77777777" w:rsidR="0064479C" w:rsidRPr="00DA4404" w:rsidRDefault="0064479C" w:rsidP="00767BBC">
      <w:pPr>
        <w:pStyle w:val="NormalDoubleSpace"/>
        <w:numPr>
          <w:ilvl w:val="0"/>
          <w:numId w:val="6"/>
        </w:numPr>
        <w:spacing w:line="240" w:lineRule="auto"/>
        <w:ind w:left="360"/>
        <w:jc w:val="both"/>
        <w:rPr>
          <w:rFonts w:ascii="Garamond" w:hAnsi="Garamond"/>
        </w:rPr>
      </w:pPr>
      <w:r w:rsidRPr="00DA4404">
        <w:rPr>
          <w:rFonts w:ascii="Garamond" w:hAnsi="Garamond"/>
        </w:rPr>
        <w:t>Requests for expert assistance must be more than a conclusory assertion that the expert is needed.</w:t>
      </w:r>
      <w:r w:rsidR="00BA4996" w:rsidRPr="00DA4404">
        <w:rPr>
          <w:rFonts w:ascii="Garamond" w:hAnsi="Garamond"/>
        </w:rPr>
        <w:t xml:space="preserve"> </w:t>
      </w:r>
      <w:r w:rsidRPr="00DA4404">
        <w:rPr>
          <w:rFonts w:ascii="Garamond" w:hAnsi="Garamond"/>
        </w:rPr>
        <w:t xml:space="preserve">See </w:t>
      </w:r>
      <w:r w:rsidRPr="00DA4404">
        <w:rPr>
          <w:rFonts w:ascii="Garamond" w:hAnsi="Garamond"/>
          <w:i/>
        </w:rPr>
        <w:t>Caldwell v Mississippi</w:t>
      </w:r>
      <w:r w:rsidRPr="00DA4404">
        <w:rPr>
          <w:rFonts w:ascii="Garamond" w:hAnsi="Garamond"/>
        </w:rPr>
        <w:t>, 472 US 320, 323 FN 1; 105 S Ct 2633 (1985) (affirming state court’s conclusion there was no error in refusing to provide expert assistance where the request was “little more than ‘the general statement that the requested expert ‘would be of great necessaries witness</w:t>
      </w:r>
      <w:r w:rsidR="005F21F4" w:rsidRPr="00DA4404">
        <w:rPr>
          <w:rFonts w:ascii="Garamond" w:hAnsi="Garamond"/>
        </w:rPr>
        <w:t>’</w:t>
      </w:r>
      <w:r w:rsidRPr="00DA4404">
        <w:rPr>
          <w:rFonts w:ascii="Garamond" w:hAnsi="Garamond"/>
        </w:rPr>
        <w:t>’”).</w:t>
      </w:r>
      <w:r w:rsidR="00616ADF" w:rsidRPr="00DA4404">
        <w:rPr>
          <w:rFonts w:ascii="Garamond" w:hAnsi="Garamond"/>
        </w:rPr>
        <w:t xml:space="preserve"> </w:t>
      </w:r>
    </w:p>
    <w:p w14:paraId="1BFC4712" w14:textId="77777777" w:rsidR="0064479C" w:rsidRPr="00DA4404" w:rsidRDefault="0064479C" w:rsidP="00767BBC">
      <w:pPr>
        <w:pStyle w:val="NormalDoubleSpace"/>
        <w:spacing w:line="240" w:lineRule="auto"/>
        <w:ind w:left="360"/>
        <w:jc w:val="both"/>
        <w:rPr>
          <w:rFonts w:ascii="Garamond" w:hAnsi="Garamond"/>
          <w:u w:val="single"/>
        </w:rPr>
      </w:pPr>
    </w:p>
    <w:p w14:paraId="383F3510" w14:textId="77777777" w:rsidR="00385196" w:rsidRPr="00DA4404" w:rsidRDefault="00385196" w:rsidP="00767BBC">
      <w:pPr>
        <w:pStyle w:val="NormalDoubleSpace"/>
        <w:numPr>
          <w:ilvl w:val="0"/>
          <w:numId w:val="6"/>
        </w:numPr>
        <w:spacing w:line="240" w:lineRule="auto"/>
        <w:ind w:left="360"/>
        <w:jc w:val="both"/>
        <w:rPr>
          <w:rFonts w:ascii="Garamond" w:hAnsi="Garamond"/>
        </w:rPr>
      </w:pPr>
      <w:r w:rsidRPr="00DA4404">
        <w:rPr>
          <w:rFonts w:ascii="Garamond" w:hAnsi="Garamond"/>
        </w:rPr>
        <w:t>The opinion does not address the</w:t>
      </w:r>
      <w:r w:rsidR="005F21F4" w:rsidRPr="00DA4404">
        <w:rPr>
          <w:rFonts w:ascii="Garamond" w:hAnsi="Garamond"/>
        </w:rPr>
        <w:t xml:space="preserve"> availability of or right to use</w:t>
      </w:r>
      <w:r w:rsidRPr="00DA4404">
        <w:rPr>
          <w:rFonts w:ascii="Garamond" w:hAnsi="Garamond"/>
        </w:rPr>
        <w:t xml:space="preserve"> </w:t>
      </w:r>
      <w:r w:rsidRPr="00DA4404">
        <w:rPr>
          <w:rFonts w:ascii="Garamond" w:hAnsi="Garamond"/>
          <w:i/>
        </w:rPr>
        <w:t>ex parte</w:t>
      </w:r>
      <w:r w:rsidRPr="00DA4404">
        <w:rPr>
          <w:rFonts w:ascii="Garamond" w:hAnsi="Garamond"/>
        </w:rPr>
        <w:t xml:space="preserve"> </w:t>
      </w:r>
      <w:r w:rsidR="005F21F4" w:rsidRPr="00DA4404">
        <w:rPr>
          <w:rFonts w:ascii="Garamond" w:hAnsi="Garamond"/>
        </w:rPr>
        <w:t>motions for experts, but supportive caselaw exists.</w:t>
      </w:r>
    </w:p>
    <w:p w14:paraId="6BE37124" w14:textId="77777777" w:rsidR="001F27AF" w:rsidRPr="00DA4404" w:rsidRDefault="001F27AF" w:rsidP="00767BBC">
      <w:pPr>
        <w:pStyle w:val="NormalDoubleSpace"/>
        <w:spacing w:line="240" w:lineRule="auto"/>
        <w:ind w:left="360"/>
        <w:jc w:val="both"/>
        <w:rPr>
          <w:rFonts w:ascii="Garamond" w:hAnsi="Garamond"/>
        </w:rPr>
      </w:pPr>
    </w:p>
    <w:p w14:paraId="0F78531D" w14:textId="77777777" w:rsidR="005F21F4" w:rsidRPr="00DA4404" w:rsidRDefault="005F21F4" w:rsidP="005F21F4">
      <w:pPr>
        <w:pStyle w:val="NormalDoubleSpace"/>
        <w:numPr>
          <w:ilvl w:val="0"/>
          <w:numId w:val="6"/>
        </w:numPr>
        <w:spacing w:line="240" w:lineRule="auto"/>
        <w:ind w:left="360"/>
        <w:jc w:val="both"/>
        <w:rPr>
          <w:rFonts w:ascii="Garamond" w:hAnsi="Garamond"/>
        </w:rPr>
      </w:pPr>
      <w:r w:rsidRPr="00DA4404">
        <w:rPr>
          <w:rFonts w:ascii="Garamond" w:hAnsi="Garamond"/>
        </w:rPr>
        <w:t>The M</w:t>
      </w:r>
      <w:r w:rsidR="00F531D9" w:rsidRPr="00DA4404">
        <w:rPr>
          <w:rFonts w:ascii="Garamond" w:hAnsi="Garamond"/>
        </w:rPr>
        <w:t xml:space="preserve">ichigan </w:t>
      </w:r>
      <w:r w:rsidRPr="00DA4404">
        <w:rPr>
          <w:rFonts w:ascii="Garamond" w:hAnsi="Garamond"/>
        </w:rPr>
        <w:t>S</w:t>
      </w:r>
      <w:r w:rsidR="00F531D9" w:rsidRPr="00DA4404">
        <w:rPr>
          <w:rFonts w:ascii="Garamond" w:hAnsi="Garamond"/>
        </w:rPr>
        <w:t xml:space="preserve">upreme </w:t>
      </w:r>
      <w:r w:rsidRPr="00DA4404">
        <w:rPr>
          <w:rFonts w:ascii="Garamond" w:hAnsi="Garamond"/>
        </w:rPr>
        <w:t>C</w:t>
      </w:r>
      <w:r w:rsidR="00F531D9" w:rsidRPr="00DA4404">
        <w:rPr>
          <w:rFonts w:ascii="Garamond" w:hAnsi="Garamond"/>
        </w:rPr>
        <w:t>ourt</w:t>
      </w:r>
      <w:r w:rsidRPr="00DA4404">
        <w:rPr>
          <w:rFonts w:ascii="Garamond" w:hAnsi="Garamond"/>
        </w:rPr>
        <w:t xml:space="preserve">’s recognition that this is a constitutional issue is significant. </w:t>
      </w:r>
    </w:p>
    <w:p w14:paraId="16193BB5" w14:textId="77777777" w:rsidR="005F21F4" w:rsidRPr="00DA4404" w:rsidRDefault="005F21F4" w:rsidP="005F21F4">
      <w:pPr>
        <w:pStyle w:val="ListParagraph"/>
        <w:rPr>
          <w:rFonts w:ascii="Garamond" w:hAnsi="Garamond"/>
        </w:rPr>
      </w:pPr>
    </w:p>
    <w:p w14:paraId="61143CC2" w14:textId="77777777" w:rsidR="005F21F4" w:rsidRPr="00DA4404" w:rsidRDefault="005F21F4" w:rsidP="005F21F4">
      <w:pPr>
        <w:pStyle w:val="NormalDoubleSpace"/>
        <w:numPr>
          <w:ilvl w:val="0"/>
          <w:numId w:val="6"/>
        </w:numPr>
        <w:spacing w:line="240" w:lineRule="auto"/>
        <w:ind w:left="1080"/>
        <w:jc w:val="both"/>
        <w:rPr>
          <w:rFonts w:ascii="Garamond" w:hAnsi="Garamond"/>
        </w:rPr>
      </w:pPr>
      <w:r w:rsidRPr="00DA4404">
        <w:rPr>
          <w:rFonts w:ascii="Garamond" w:hAnsi="Garamond"/>
        </w:rPr>
        <w:t xml:space="preserve">Preserved claims of error related to this issue now require the prosecution to prove any error was harmless beyond a reasonable doubt. </w:t>
      </w:r>
      <w:r w:rsidRPr="00DA4404">
        <w:rPr>
          <w:rFonts w:ascii="Garamond" w:hAnsi="Garamond"/>
          <w:i/>
          <w:color w:val="000000"/>
          <w:u w:color="000000"/>
        </w:rPr>
        <w:t>People v Anderson (After Remand)</w:t>
      </w:r>
      <w:r w:rsidRPr="00DA4404">
        <w:rPr>
          <w:rFonts w:ascii="Garamond" w:hAnsi="Garamond"/>
          <w:color w:val="000000"/>
          <w:u w:color="000000"/>
        </w:rPr>
        <w:t xml:space="preserve">, 446 </w:t>
      </w:r>
      <w:proofErr w:type="spellStart"/>
      <w:r w:rsidRPr="00DA4404">
        <w:rPr>
          <w:rFonts w:ascii="Garamond" w:hAnsi="Garamond"/>
          <w:color w:val="000000"/>
          <w:u w:color="000000"/>
        </w:rPr>
        <w:t>Mich</w:t>
      </w:r>
      <w:proofErr w:type="spellEnd"/>
      <w:r w:rsidRPr="00DA4404">
        <w:rPr>
          <w:rFonts w:ascii="Garamond" w:hAnsi="Garamond"/>
          <w:color w:val="000000"/>
          <w:u w:color="000000"/>
        </w:rPr>
        <w:t xml:space="preserve"> 392, 405-406; 521 NW2d 538 (1994).</w:t>
      </w:r>
    </w:p>
    <w:p w14:paraId="606BCC8B" w14:textId="77777777" w:rsidR="00FB3CFC" w:rsidRPr="00DA4404" w:rsidRDefault="00FB3CFC" w:rsidP="00FB3CFC">
      <w:pPr>
        <w:pStyle w:val="ListParagraph"/>
        <w:rPr>
          <w:rFonts w:ascii="Garamond" w:hAnsi="Garamond"/>
        </w:rPr>
      </w:pPr>
    </w:p>
    <w:p w14:paraId="2292EA2F" w14:textId="77777777" w:rsidR="00FB3CFC" w:rsidRPr="00DA4404" w:rsidRDefault="00FB3CFC" w:rsidP="00FB3CFC">
      <w:pPr>
        <w:pStyle w:val="NormalDoubleSpace"/>
        <w:numPr>
          <w:ilvl w:val="0"/>
          <w:numId w:val="6"/>
        </w:numPr>
        <w:spacing w:line="240" w:lineRule="auto"/>
        <w:ind w:left="1080"/>
        <w:jc w:val="both"/>
        <w:rPr>
          <w:rFonts w:ascii="Garamond" w:hAnsi="Garamond"/>
        </w:rPr>
      </w:pPr>
      <w:r w:rsidRPr="00DA4404">
        <w:rPr>
          <w:rFonts w:ascii="Garamond" w:hAnsi="Garamond"/>
        </w:rPr>
        <w:t xml:space="preserve">An unpreserved claim of error (even constitutional error) is reviewed under the plain error standard, meaning a conviction shall only be reversed if (1) there was an error, (2) the error was plain, meaning it was clear or obvious, and (3) the error affected substantial rights, meaning that the error affected the outcome of the proceedings or “seriously affected the fairness, integrity or public reputation of judicial proceedings.” </w:t>
      </w:r>
      <w:r w:rsidRPr="00DA4404">
        <w:rPr>
          <w:rFonts w:ascii="Garamond" w:hAnsi="Garamond"/>
          <w:i/>
        </w:rPr>
        <w:t xml:space="preserve">People v </w:t>
      </w:r>
      <w:proofErr w:type="spellStart"/>
      <w:r w:rsidRPr="00DA4404">
        <w:rPr>
          <w:rFonts w:ascii="Garamond" w:hAnsi="Garamond"/>
          <w:i/>
        </w:rPr>
        <w:t>Carines</w:t>
      </w:r>
      <w:proofErr w:type="spellEnd"/>
      <w:r w:rsidRPr="00DA4404">
        <w:rPr>
          <w:rFonts w:ascii="Garamond" w:hAnsi="Garamond"/>
        </w:rPr>
        <w:t xml:space="preserve">, 460 </w:t>
      </w:r>
      <w:proofErr w:type="spellStart"/>
      <w:r w:rsidRPr="00DA4404">
        <w:rPr>
          <w:rFonts w:ascii="Garamond" w:hAnsi="Garamond"/>
        </w:rPr>
        <w:t>Mich</w:t>
      </w:r>
      <w:proofErr w:type="spellEnd"/>
      <w:r w:rsidRPr="00DA4404">
        <w:rPr>
          <w:rFonts w:ascii="Garamond" w:hAnsi="Garamond"/>
        </w:rPr>
        <w:t xml:space="preserve"> 750, 763-764; 597 NW2d 130 (1999).</w:t>
      </w:r>
    </w:p>
    <w:p w14:paraId="792EBFF3" w14:textId="77777777" w:rsidR="00F91822" w:rsidRPr="00DA4404" w:rsidRDefault="00F91822" w:rsidP="00F91822">
      <w:pPr>
        <w:pStyle w:val="ListParagraph"/>
        <w:rPr>
          <w:rFonts w:ascii="Garamond" w:hAnsi="Garamond"/>
        </w:rPr>
      </w:pPr>
    </w:p>
    <w:p w14:paraId="1186B3EF" w14:textId="77777777" w:rsidR="00F91822" w:rsidRPr="00DA4404" w:rsidRDefault="00F91822" w:rsidP="00F91822">
      <w:pPr>
        <w:pStyle w:val="NormalDoubleSpace"/>
        <w:numPr>
          <w:ilvl w:val="0"/>
          <w:numId w:val="6"/>
        </w:numPr>
        <w:spacing w:line="240" w:lineRule="auto"/>
        <w:ind w:left="1080"/>
        <w:jc w:val="both"/>
        <w:rPr>
          <w:rFonts w:ascii="Garamond" w:hAnsi="Garamond"/>
        </w:rPr>
      </w:pPr>
      <w:r w:rsidRPr="00DA4404">
        <w:rPr>
          <w:rFonts w:ascii="Garamond" w:hAnsi="Garamond"/>
        </w:rPr>
        <w:t>Advocates should consult federal authorities to assist with ligation:</w:t>
      </w:r>
    </w:p>
    <w:p w14:paraId="77B1859A" w14:textId="77777777" w:rsidR="00F91822" w:rsidRPr="00DA4404" w:rsidRDefault="00F91822" w:rsidP="00F91822">
      <w:pPr>
        <w:pStyle w:val="NormalDoubleSpace"/>
        <w:spacing w:line="240" w:lineRule="auto"/>
        <w:ind w:left="360"/>
        <w:jc w:val="both"/>
        <w:rPr>
          <w:rFonts w:ascii="Garamond" w:hAnsi="Garamond"/>
        </w:rPr>
      </w:pPr>
    </w:p>
    <w:p w14:paraId="705F6478" w14:textId="77777777" w:rsidR="00F91822" w:rsidRPr="00DA4404" w:rsidRDefault="00B45568" w:rsidP="00F91822">
      <w:pPr>
        <w:pStyle w:val="NormalDoubleSpace"/>
        <w:spacing w:line="240" w:lineRule="auto"/>
        <w:jc w:val="both"/>
        <w:rPr>
          <w:rFonts w:ascii="Garamond" w:hAnsi="Garamond"/>
        </w:rPr>
      </w:pPr>
      <w:hyperlink r:id="rId7" w:history="1">
        <w:r w:rsidR="00F91822" w:rsidRPr="00DA4404">
          <w:rPr>
            <w:rStyle w:val="Hyperlink"/>
            <w:rFonts w:ascii="Garamond" w:hAnsi="Garamond"/>
          </w:rPr>
          <w:t>https://hat.capdefnet.org/helpful-cases/expert-investigative-assistance-issues-ake</w:t>
        </w:r>
      </w:hyperlink>
    </w:p>
    <w:p w14:paraId="169E55CB" w14:textId="77777777" w:rsidR="00F91822" w:rsidRPr="00DA4404" w:rsidRDefault="00F91822" w:rsidP="00F91822">
      <w:pPr>
        <w:pStyle w:val="NormalDoubleSpace"/>
        <w:spacing w:line="240" w:lineRule="auto"/>
        <w:jc w:val="both"/>
        <w:rPr>
          <w:rFonts w:ascii="Garamond" w:hAnsi="Garamond"/>
        </w:rPr>
      </w:pPr>
    </w:p>
    <w:p w14:paraId="534E0C82" w14:textId="77777777" w:rsidR="00F91822" w:rsidRPr="00DA4404" w:rsidRDefault="00B45568" w:rsidP="00F91822">
      <w:pPr>
        <w:pStyle w:val="NormalDoubleSpace"/>
        <w:spacing w:line="240" w:lineRule="auto"/>
        <w:jc w:val="both"/>
        <w:rPr>
          <w:rFonts w:ascii="Garamond" w:hAnsi="Garamond"/>
          <w:u w:val="single"/>
        </w:rPr>
      </w:pPr>
      <w:hyperlink r:id="rId8" w:history="1">
        <w:r w:rsidR="00F91822" w:rsidRPr="00DA4404">
          <w:rPr>
            <w:rStyle w:val="Hyperlink"/>
            <w:rFonts w:ascii="Garamond" w:hAnsi="Garamond"/>
          </w:rPr>
          <w:t>https://hat.capdefnet.org/sites/cdn_hat/files/Assets/public/helpful_cases/expertinvestigative_assistance_issues_ake/summaries_of_successful_cases_under_ake_2017_0.pdf</w:t>
        </w:r>
      </w:hyperlink>
    </w:p>
    <w:p w14:paraId="7442C72B" w14:textId="77777777" w:rsidR="00F91822" w:rsidRPr="00DA4404" w:rsidRDefault="00F91822" w:rsidP="00F91822">
      <w:pPr>
        <w:pStyle w:val="NormalDoubleSpace"/>
        <w:spacing w:line="240" w:lineRule="auto"/>
        <w:jc w:val="both"/>
        <w:rPr>
          <w:rFonts w:ascii="Garamond" w:hAnsi="Garamond"/>
        </w:rPr>
      </w:pPr>
    </w:p>
    <w:p w14:paraId="40DFA4B2" w14:textId="77777777" w:rsidR="00F91822" w:rsidRPr="00DA4404" w:rsidRDefault="00F91822" w:rsidP="00F91822">
      <w:pPr>
        <w:pStyle w:val="NormalDoubleSpace"/>
        <w:spacing w:line="240" w:lineRule="auto"/>
        <w:jc w:val="both"/>
        <w:rPr>
          <w:rFonts w:ascii="Garamond" w:hAnsi="Garamond"/>
        </w:rPr>
      </w:pPr>
    </w:p>
    <w:p w14:paraId="5EBE260A" w14:textId="77777777" w:rsidR="00DA4404" w:rsidRDefault="00DA4404">
      <w:pPr>
        <w:spacing w:line="480" w:lineRule="auto"/>
        <w:rPr>
          <w:rFonts w:ascii="Garamond" w:hAnsi="Garamond"/>
          <w:b/>
          <w:u w:val="single"/>
        </w:rPr>
      </w:pPr>
      <w:r>
        <w:rPr>
          <w:rFonts w:ascii="Garamond" w:hAnsi="Garamond"/>
          <w:b/>
          <w:u w:val="single"/>
        </w:rPr>
        <w:br w:type="page"/>
      </w:r>
    </w:p>
    <w:p w14:paraId="3FC6449F" w14:textId="77777777" w:rsidR="00F91822" w:rsidRPr="00DA4404" w:rsidRDefault="00F91822" w:rsidP="00F91822">
      <w:pPr>
        <w:pStyle w:val="NormalDoubleSpace"/>
        <w:rPr>
          <w:rFonts w:ascii="Garamond" w:hAnsi="Garamond"/>
          <w:b/>
        </w:rPr>
      </w:pPr>
      <w:r w:rsidRPr="00DA4404">
        <w:rPr>
          <w:rFonts w:ascii="Garamond" w:hAnsi="Garamond"/>
          <w:b/>
          <w:u w:val="single"/>
        </w:rPr>
        <w:lastRenderedPageBreak/>
        <w:t>Sample language for fee motion:</w:t>
      </w:r>
    </w:p>
    <w:p w14:paraId="34434C52" w14:textId="77777777" w:rsidR="00F91822" w:rsidRPr="00DA4404" w:rsidRDefault="00F91822" w:rsidP="00360698">
      <w:pPr>
        <w:pStyle w:val="NormalDoubleSpace"/>
        <w:spacing w:line="240" w:lineRule="auto"/>
        <w:ind w:firstLine="720"/>
        <w:rPr>
          <w:rFonts w:ascii="Garamond" w:hAnsi="Garamond"/>
          <w:i/>
        </w:rPr>
      </w:pPr>
      <w:r w:rsidRPr="00DA4404">
        <w:rPr>
          <w:rFonts w:ascii="Garamond" w:hAnsi="Garamond"/>
        </w:rPr>
        <w:t xml:space="preserve">The United States Supreme Court has “long recognized that when a State brings its judicial power to bear on an indigent defendant in a criminal proceeding, it must take steps to assure that the defendant has a fair opportunity to present his defense.” </w:t>
      </w:r>
      <w:r w:rsidRPr="00DA4404">
        <w:rPr>
          <w:rFonts w:ascii="Garamond" w:hAnsi="Garamond"/>
          <w:i/>
        </w:rPr>
        <w:t>Ake v Oklahoma</w:t>
      </w:r>
      <w:r w:rsidRPr="00DA4404">
        <w:rPr>
          <w:rFonts w:ascii="Garamond" w:hAnsi="Garamond"/>
        </w:rPr>
        <w:t>, 470 US 68, 76; 105 S Ct 1087 (1985). These steps include providing indigent defendants with the funds necessary to hire experts to “assist in evaluation, preparation, and presentation of the defense.”</w:t>
      </w:r>
      <w:r w:rsidRPr="00DA4404">
        <w:rPr>
          <w:rFonts w:ascii="Garamond" w:hAnsi="Garamond"/>
          <w:i/>
        </w:rPr>
        <w:t xml:space="preserve"> People v Kennedy</w:t>
      </w:r>
      <w:r w:rsidR="003212D5" w:rsidRPr="00DA4404">
        <w:rPr>
          <w:rFonts w:ascii="Garamond" w:hAnsi="Garamond"/>
          <w:i/>
        </w:rPr>
        <w:t xml:space="preserve">, </w:t>
      </w:r>
      <w:r w:rsidR="003212D5" w:rsidRPr="00DA4404">
        <w:rPr>
          <w:rFonts w:ascii="Garamond" w:hAnsi="Garamond"/>
        </w:rPr>
        <w:t xml:space="preserve">502 </w:t>
      </w:r>
      <w:proofErr w:type="spellStart"/>
      <w:r w:rsidR="003212D5" w:rsidRPr="00DA4404">
        <w:rPr>
          <w:rFonts w:ascii="Garamond" w:hAnsi="Garamond"/>
        </w:rPr>
        <w:t>Mich</w:t>
      </w:r>
      <w:proofErr w:type="spellEnd"/>
      <w:r w:rsidR="003212D5" w:rsidRPr="00DA4404">
        <w:rPr>
          <w:rFonts w:ascii="Garamond" w:hAnsi="Garamond"/>
        </w:rPr>
        <w:t xml:space="preserve"> 206, 218; 917 NW2d 355 (2018)</w:t>
      </w:r>
      <w:r w:rsidRPr="00DA4404">
        <w:rPr>
          <w:rFonts w:ascii="Garamond" w:hAnsi="Garamond"/>
        </w:rPr>
        <w:t xml:space="preserve">, quoting </w:t>
      </w:r>
      <w:r w:rsidRPr="00DA4404">
        <w:rPr>
          <w:rFonts w:ascii="Garamond" w:hAnsi="Garamond"/>
          <w:i/>
        </w:rPr>
        <w:t>Ake</w:t>
      </w:r>
      <w:r w:rsidRPr="00DA4404">
        <w:rPr>
          <w:rFonts w:ascii="Garamond" w:hAnsi="Garamond"/>
        </w:rPr>
        <w:t xml:space="preserve">, 470 US at 83; see also </w:t>
      </w:r>
      <w:r w:rsidRPr="00DA4404">
        <w:rPr>
          <w:rFonts w:ascii="Garamond" w:hAnsi="Garamond"/>
          <w:i/>
        </w:rPr>
        <w:t>McWilliams v Dunn</w:t>
      </w:r>
      <w:r w:rsidRPr="00DA4404">
        <w:rPr>
          <w:rFonts w:ascii="Garamond" w:hAnsi="Garamond"/>
        </w:rPr>
        <w:t>, __ US __;</w:t>
      </w:r>
      <w:r w:rsidRPr="00DA4404">
        <w:rPr>
          <w:rFonts w:ascii="Garamond" w:hAnsi="Garamond"/>
          <w:i/>
        </w:rPr>
        <w:t xml:space="preserve"> </w:t>
      </w:r>
      <w:r w:rsidRPr="00DA4404">
        <w:rPr>
          <w:rFonts w:ascii="Garamond" w:hAnsi="Garamond"/>
        </w:rPr>
        <w:t xml:space="preserve">137 S Ct 1790, 1799 (2017) (capital defendants are entitled to a “qualified [] expert retained specifically for the defense team, not a neutral expert available to both parties.”). </w:t>
      </w:r>
    </w:p>
    <w:p w14:paraId="14D3C759" w14:textId="77777777" w:rsidR="00F91822" w:rsidRPr="00DA4404" w:rsidRDefault="00F91822" w:rsidP="00360698">
      <w:pPr>
        <w:pStyle w:val="NormalDoubleSpace"/>
        <w:spacing w:line="240" w:lineRule="auto"/>
        <w:rPr>
          <w:rFonts w:ascii="Garamond" w:hAnsi="Garamond"/>
        </w:rPr>
      </w:pPr>
    </w:p>
    <w:p w14:paraId="1B9367D8" w14:textId="77777777" w:rsidR="00F91822" w:rsidRPr="00DA4404" w:rsidRDefault="00F91822" w:rsidP="00BC28EF">
      <w:pPr>
        <w:pStyle w:val="NormalDoubleSpace"/>
        <w:spacing w:line="240" w:lineRule="auto"/>
        <w:ind w:firstLine="720"/>
        <w:rPr>
          <w:rFonts w:ascii="Garamond" w:hAnsi="Garamond"/>
          <w:i/>
        </w:rPr>
      </w:pPr>
      <w:r w:rsidRPr="00DA4404">
        <w:rPr>
          <w:rFonts w:ascii="Garamond" w:hAnsi="Garamond"/>
        </w:rPr>
        <w:t xml:space="preserve">An indigent defendant’s right to expert assistance is broad and applies equally to various types of experts and fields of expertise. </w:t>
      </w:r>
      <w:r w:rsidRPr="00DA4404">
        <w:rPr>
          <w:rFonts w:ascii="Garamond" w:hAnsi="Garamond"/>
          <w:i/>
        </w:rPr>
        <w:t>Kennedy</w:t>
      </w:r>
      <w:r w:rsidRPr="00DA4404">
        <w:rPr>
          <w:rFonts w:ascii="Garamond" w:hAnsi="Garamond"/>
        </w:rPr>
        <w:t xml:space="preserve">, </w:t>
      </w:r>
      <w:r w:rsidR="00BC28EF" w:rsidRPr="00DA4404">
        <w:rPr>
          <w:rFonts w:ascii="Garamond" w:hAnsi="Garamond"/>
        </w:rPr>
        <w:t xml:space="preserve">502 </w:t>
      </w:r>
      <w:proofErr w:type="spellStart"/>
      <w:r w:rsidR="00BC28EF" w:rsidRPr="00DA4404">
        <w:rPr>
          <w:rFonts w:ascii="Garamond" w:hAnsi="Garamond"/>
        </w:rPr>
        <w:t>Mich</w:t>
      </w:r>
      <w:proofErr w:type="spellEnd"/>
      <w:r w:rsidR="00BC28EF" w:rsidRPr="00DA4404">
        <w:rPr>
          <w:rFonts w:ascii="Garamond" w:hAnsi="Garamond"/>
        </w:rPr>
        <w:t xml:space="preserve"> at 219-220.</w:t>
      </w:r>
    </w:p>
    <w:p w14:paraId="01037A07" w14:textId="77777777" w:rsidR="00F91822" w:rsidRPr="00DA4404" w:rsidRDefault="00F91822" w:rsidP="00360698">
      <w:pPr>
        <w:pStyle w:val="NormalDoubleSpace"/>
        <w:spacing w:line="240" w:lineRule="auto"/>
        <w:rPr>
          <w:rFonts w:ascii="Garamond" w:hAnsi="Garamond"/>
        </w:rPr>
      </w:pPr>
    </w:p>
    <w:p w14:paraId="7D6D06A0" w14:textId="77777777" w:rsidR="00F91822" w:rsidRPr="00DA4404" w:rsidRDefault="00F91822" w:rsidP="00BC28EF">
      <w:pPr>
        <w:pStyle w:val="NormalDoubleSpace"/>
        <w:spacing w:line="240" w:lineRule="auto"/>
        <w:ind w:firstLine="720"/>
        <w:rPr>
          <w:rFonts w:ascii="Garamond" w:hAnsi="Garamond"/>
          <w:i/>
        </w:rPr>
      </w:pPr>
      <w:r w:rsidRPr="00DA4404">
        <w:rPr>
          <w:rFonts w:ascii="Garamond" w:hAnsi="Garamond"/>
        </w:rPr>
        <w:t xml:space="preserve"> As the Court in </w:t>
      </w:r>
      <w:r w:rsidRPr="00DA4404">
        <w:rPr>
          <w:rFonts w:ascii="Garamond" w:hAnsi="Garamond"/>
          <w:i/>
        </w:rPr>
        <w:t>Ake</w:t>
      </w:r>
      <w:r w:rsidRPr="00DA4404">
        <w:rPr>
          <w:rFonts w:ascii="Garamond" w:hAnsi="Garamond"/>
        </w:rPr>
        <w:t xml:space="preserve"> noted, this fundamental principle of due process “derives from the belief that justice cannot be equal where, simply as a result of his poverty, a defendant is denied the opportunity to participate meaningfully in a judicial proceeding in which his liberty is at stake.” </w:t>
      </w:r>
      <w:r w:rsidRPr="00DA4404">
        <w:rPr>
          <w:rFonts w:ascii="Garamond" w:hAnsi="Garamond"/>
          <w:i/>
        </w:rPr>
        <w:t>Ake,</w:t>
      </w:r>
      <w:r w:rsidRPr="00DA4404">
        <w:rPr>
          <w:rFonts w:ascii="Garamond" w:hAnsi="Garamond"/>
        </w:rPr>
        <w:t xml:space="preserve"> 470 US at 76.</w:t>
      </w:r>
    </w:p>
    <w:p w14:paraId="5AA42F25" w14:textId="77777777" w:rsidR="00F91822" w:rsidRPr="00DA4404" w:rsidRDefault="00F91822" w:rsidP="00360698">
      <w:pPr>
        <w:pStyle w:val="NormalDoubleSpace"/>
        <w:spacing w:line="240" w:lineRule="auto"/>
        <w:rPr>
          <w:rFonts w:ascii="Garamond" w:hAnsi="Garamond"/>
        </w:rPr>
      </w:pPr>
    </w:p>
    <w:p w14:paraId="67B18FF5" w14:textId="77777777" w:rsidR="00BC28EF" w:rsidRPr="00DA4404" w:rsidRDefault="00BC28EF" w:rsidP="00360698">
      <w:pPr>
        <w:pStyle w:val="NormalDoubleSpace"/>
        <w:spacing w:line="240" w:lineRule="auto"/>
        <w:rPr>
          <w:rFonts w:ascii="Garamond" w:hAnsi="Garamond"/>
        </w:rPr>
      </w:pPr>
      <w:r w:rsidRPr="00DA4404">
        <w:rPr>
          <w:rFonts w:ascii="Garamond" w:hAnsi="Garamond"/>
        </w:rPr>
        <w:t>[Insert explanation of how expert is likely to be helpful to the preparation, evaluation, and/or presentation of the defense. Your explanation should address how the expert’s field of expertise is relevant to the facts of the case, the evidence to be presented by the prosecution, or to a defense.]</w:t>
      </w:r>
    </w:p>
    <w:p w14:paraId="21EC8AF7" w14:textId="77777777" w:rsidR="00BC28EF" w:rsidRPr="00DA4404" w:rsidRDefault="00BC28EF" w:rsidP="00360698">
      <w:pPr>
        <w:pStyle w:val="NormalDoubleSpace"/>
        <w:spacing w:line="240" w:lineRule="auto"/>
        <w:rPr>
          <w:rFonts w:ascii="Garamond" w:hAnsi="Garamond"/>
        </w:rPr>
      </w:pPr>
    </w:p>
    <w:p w14:paraId="0A9BDADC" w14:textId="77777777" w:rsidR="00F91822" w:rsidRPr="00DA4404" w:rsidRDefault="00F91822" w:rsidP="00BC28EF">
      <w:pPr>
        <w:pStyle w:val="NormalDoubleSpace"/>
        <w:spacing w:line="240" w:lineRule="auto"/>
        <w:ind w:firstLine="720"/>
        <w:rPr>
          <w:rFonts w:ascii="Garamond" w:hAnsi="Garamond"/>
        </w:rPr>
      </w:pPr>
      <w:r w:rsidRPr="00DA4404">
        <w:rPr>
          <w:rFonts w:ascii="Garamond" w:hAnsi="Garamond"/>
        </w:rPr>
        <w:t>There is a reasonable probability</w:t>
      </w:r>
      <w:r w:rsidRPr="00DA4404">
        <w:rPr>
          <w:rFonts w:ascii="Garamond" w:hAnsi="Garamond"/>
          <w:vertAlign w:val="superscript"/>
        </w:rPr>
        <w:footnoteReference w:id="1"/>
      </w:r>
      <w:r w:rsidRPr="00DA4404">
        <w:rPr>
          <w:rFonts w:ascii="Garamond" w:hAnsi="Garamond"/>
        </w:rPr>
        <w:t xml:space="preserve"> that the assistance of [insert expertise here] will assist [Mr. Client] in the presentation of his defense. </w:t>
      </w:r>
      <w:r w:rsidRPr="00DA4404">
        <w:rPr>
          <w:rFonts w:ascii="Garamond" w:hAnsi="Garamond"/>
          <w:i/>
        </w:rPr>
        <w:t>Kennedy</w:t>
      </w:r>
      <w:r w:rsidRPr="00DA4404">
        <w:rPr>
          <w:rFonts w:ascii="Garamond" w:hAnsi="Garamond"/>
        </w:rPr>
        <w:t xml:space="preserve">, </w:t>
      </w:r>
      <w:r w:rsidR="00BC28EF" w:rsidRPr="00DA4404">
        <w:rPr>
          <w:rFonts w:ascii="Garamond" w:hAnsi="Garamond"/>
        </w:rPr>
        <w:t xml:space="preserve">502 </w:t>
      </w:r>
      <w:proofErr w:type="spellStart"/>
      <w:r w:rsidR="00BC28EF" w:rsidRPr="00DA4404">
        <w:rPr>
          <w:rFonts w:ascii="Garamond" w:hAnsi="Garamond"/>
        </w:rPr>
        <w:t>Mich</w:t>
      </w:r>
      <w:proofErr w:type="spellEnd"/>
      <w:r w:rsidR="00BC28EF" w:rsidRPr="00DA4404">
        <w:rPr>
          <w:rFonts w:ascii="Garamond" w:hAnsi="Garamond"/>
        </w:rPr>
        <w:t xml:space="preserve"> at 227-228</w:t>
      </w:r>
      <w:r w:rsidRPr="00DA4404">
        <w:rPr>
          <w:rFonts w:ascii="Garamond" w:hAnsi="Garamond"/>
        </w:rPr>
        <w:t xml:space="preserve">. In addition, the denial of this assistance would result in a fundamentally unfair trial. </w:t>
      </w:r>
      <w:r w:rsidRPr="00DA4404">
        <w:rPr>
          <w:rFonts w:ascii="Garamond" w:hAnsi="Garamond"/>
          <w:i/>
        </w:rPr>
        <w:t>Id.</w:t>
      </w:r>
      <w:r w:rsidRPr="00DA4404">
        <w:rPr>
          <w:rFonts w:ascii="Garamond" w:hAnsi="Garamond"/>
        </w:rPr>
        <w:t xml:space="preserve"> As a result, [Mr. Client] has the right, under the Fifth, Sixth, and Fourteenth Amendments of the United States Constitution, for the government to provide him with the funds necessary to hire [insert expert here] so he can adequately prepare a defense for trial.</w:t>
      </w:r>
    </w:p>
    <w:p w14:paraId="1827D515" w14:textId="77777777" w:rsidR="00F91822" w:rsidRPr="00DA4404" w:rsidRDefault="00F91822" w:rsidP="00F91822">
      <w:pPr>
        <w:pStyle w:val="NormalDoubleSpace"/>
        <w:spacing w:line="240" w:lineRule="auto"/>
        <w:jc w:val="both"/>
        <w:rPr>
          <w:rFonts w:ascii="Garamond" w:hAnsi="Garamond"/>
        </w:rPr>
      </w:pPr>
    </w:p>
    <w:p w14:paraId="4B265215" w14:textId="77777777" w:rsidR="00CF02D8" w:rsidRPr="00DA4404" w:rsidRDefault="00CF02D8" w:rsidP="00CF02D8">
      <w:pPr>
        <w:pStyle w:val="ListParagraph"/>
        <w:rPr>
          <w:rFonts w:ascii="Garamond" w:hAnsi="Garamond"/>
        </w:rPr>
      </w:pPr>
    </w:p>
    <w:p w14:paraId="1827C619" w14:textId="77777777" w:rsidR="00CF02D8" w:rsidRPr="00DA4404" w:rsidRDefault="00CF02D8" w:rsidP="00CF02D8">
      <w:pPr>
        <w:pStyle w:val="NormalDoubleSpace"/>
        <w:spacing w:line="240" w:lineRule="auto"/>
        <w:jc w:val="both"/>
        <w:rPr>
          <w:rFonts w:ascii="Garamond" w:hAnsi="Garamond"/>
          <w:i/>
        </w:rPr>
      </w:pPr>
    </w:p>
    <w:sectPr w:rsidR="00CF02D8" w:rsidRPr="00DA4404" w:rsidSect="00DA4404">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B642" w14:textId="77777777" w:rsidR="0064479C" w:rsidRDefault="0064479C" w:rsidP="0064479C">
      <w:r>
        <w:separator/>
      </w:r>
    </w:p>
  </w:endnote>
  <w:endnote w:type="continuationSeparator" w:id="0">
    <w:p w14:paraId="503110CD" w14:textId="77777777" w:rsidR="0064479C" w:rsidRDefault="0064479C" w:rsidP="0064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40730264"/>
      <w:docPartObj>
        <w:docPartGallery w:val="Page Numbers (Bottom of Page)"/>
        <w:docPartUnique/>
      </w:docPartObj>
    </w:sdtPr>
    <w:sdtEndPr>
      <w:rPr>
        <w:noProof/>
      </w:rPr>
    </w:sdtEndPr>
    <w:sdtContent>
      <w:p w14:paraId="14B9FD06" w14:textId="77777777" w:rsidR="00814DF9" w:rsidRPr="00CF19C1" w:rsidRDefault="00D250C2" w:rsidP="00CF19C1">
        <w:pPr>
          <w:pStyle w:val="Footer"/>
          <w:jc w:val="center"/>
          <w:rPr>
            <w:rFonts w:ascii="Garamond" w:hAnsi="Garamond"/>
          </w:rPr>
        </w:pPr>
        <w:r w:rsidRPr="00D250C2">
          <w:rPr>
            <w:rFonts w:ascii="Garamond" w:hAnsi="Garamond"/>
          </w:rPr>
          <w:fldChar w:fldCharType="begin"/>
        </w:r>
        <w:r w:rsidRPr="00D250C2">
          <w:rPr>
            <w:rFonts w:ascii="Garamond" w:hAnsi="Garamond"/>
          </w:rPr>
          <w:instrText xml:space="preserve"> PAGE   \* MERGEFORMAT </w:instrText>
        </w:r>
        <w:r w:rsidRPr="00D250C2">
          <w:rPr>
            <w:rFonts w:ascii="Garamond" w:hAnsi="Garamond"/>
          </w:rPr>
          <w:fldChar w:fldCharType="separate"/>
        </w:r>
        <w:r w:rsidR="0010623D">
          <w:rPr>
            <w:rFonts w:ascii="Garamond" w:hAnsi="Garamond"/>
            <w:noProof/>
          </w:rPr>
          <w:t>3</w:t>
        </w:r>
        <w:r w:rsidRPr="00D250C2">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7816" w14:textId="77777777" w:rsidR="0064479C" w:rsidRDefault="0064479C" w:rsidP="0064479C">
      <w:r>
        <w:separator/>
      </w:r>
    </w:p>
  </w:footnote>
  <w:footnote w:type="continuationSeparator" w:id="0">
    <w:p w14:paraId="7DD7D1D1" w14:textId="77777777" w:rsidR="0064479C" w:rsidRDefault="0064479C" w:rsidP="0064479C">
      <w:r>
        <w:continuationSeparator/>
      </w:r>
    </w:p>
  </w:footnote>
  <w:footnote w:id="1">
    <w:p w14:paraId="2E4D1CBB" w14:textId="77777777" w:rsidR="00F91822" w:rsidRPr="003212D5" w:rsidRDefault="00F91822" w:rsidP="00F91822">
      <w:pPr>
        <w:pStyle w:val="FootnoteText"/>
        <w:spacing w:after="120"/>
        <w:rPr>
          <w:rFonts w:ascii="Garamond" w:hAnsi="Garamond"/>
        </w:rPr>
      </w:pPr>
      <w:r w:rsidRPr="003212D5">
        <w:rPr>
          <w:rStyle w:val="FootnoteReference"/>
          <w:rFonts w:ascii="Garamond" w:hAnsi="Garamond"/>
        </w:rPr>
        <w:footnoteRef/>
      </w:r>
      <w:r w:rsidRPr="003212D5">
        <w:rPr>
          <w:rFonts w:ascii="Garamond" w:hAnsi="Garamond"/>
        </w:rPr>
        <w:t xml:space="preserve"> A reasonable probability is </w:t>
      </w:r>
      <w:r w:rsidRPr="003212D5">
        <w:rPr>
          <w:rFonts w:ascii="Garamond" w:hAnsi="Garamond"/>
          <w:i/>
        </w:rPr>
        <w:t>less than</w:t>
      </w:r>
      <w:r w:rsidRPr="003212D5">
        <w:rPr>
          <w:rFonts w:ascii="Garamond" w:hAnsi="Garamond"/>
        </w:rPr>
        <w:t xml:space="preserve"> a preponderance of the evidence.  </w:t>
      </w:r>
      <w:r w:rsidRPr="003212D5">
        <w:rPr>
          <w:rFonts w:ascii="Garamond" w:hAnsi="Garamond"/>
          <w:i/>
        </w:rPr>
        <w:t xml:space="preserve">Strickland v Washington, </w:t>
      </w:r>
      <w:r w:rsidRPr="003212D5">
        <w:rPr>
          <w:rFonts w:ascii="Garamond" w:hAnsi="Garamond"/>
        </w:rPr>
        <w:t>446 US 668, 694; 104 S Ct 2052 (1984).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692"/>
    <w:multiLevelType w:val="hybridMultilevel"/>
    <w:tmpl w:val="76E6F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5C1310"/>
    <w:multiLevelType w:val="hybridMultilevel"/>
    <w:tmpl w:val="F384BC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F3518"/>
    <w:multiLevelType w:val="hybridMultilevel"/>
    <w:tmpl w:val="DB5C175C"/>
    <w:lvl w:ilvl="0" w:tplc="7D9077D0">
      <w:start w:val="1"/>
      <w:numFmt w:val="decimal"/>
      <w:lvlText w:val="%1."/>
      <w:lvlJc w:val="left"/>
      <w:pPr>
        <w:ind w:left="1350" w:hanging="720"/>
      </w:pPr>
      <w:rPr>
        <w:rFonts w:hint="default"/>
        <w:i w:val="0"/>
      </w:rPr>
    </w:lvl>
    <w:lvl w:ilvl="1" w:tplc="04090019">
      <w:start w:val="1"/>
      <w:numFmt w:val="lowerLetter"/>
      <w:lvlText w:val="%2."/>
      <w:lvlJc w:val="left"/>
      <w:pPr>
        <w:ind w:left="-612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1080" w:hanging="180"/>
      </w:pPr>
    </w:lvl>
  </w:abstractNum>
  <w:abstractNum w:abstractNumId="3" w15:restartNumberingAfterBreak="0">
    <w:nsid w:val="645B3FE1"/>
    <w:multiLevelType w:val="hybridMultilevel"/>
    <w:tmpl w:val="AE3265AA"/>
    <w:lvl w:ilvl="0" w:tplc="FB6E6660">
      <w:start w:val="1"/>
      <w:numFmt w:val="decimal"/>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BC1844"/>
    <w:multiLevelType w:val="multilevel"/>
    <w:tmpl w:val="FAC896B4"/>
    <w:lvl w:ilvl="0">
      <w:start w:val="1"/>
      <w:numFmt w:val="upperRoman"/>
      <w:pStyle w:val="ISSUE"/>
      <w:lvlText w:val="%1."/>
      <w:lvlJc w:val="right"/>
      <w:pPr>
        <w:ind w:left="1800" w:hanging="36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8F66DE3"/>
    <w:multiLevelType w:val="hybridMultilevel"/>
    <w:tmpl w:val="D9C624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9C"/>
    <w:rsid w:val="00021049"/>
    <w:rsid w:val="000844A0"/>
    <w:rsid w:val="0010623D"/>
    <w:rsid w:val="001F27AF"/>
    <w:rsid w:val="0020731F"/>
    <w:rsid w:val="00271331"/>
    <w:rsid w:val="002F7E26"/>
    <w:rsid w:val="003212D5"/>
    <w:rsid w:val="0032721D"/>
    <w:rsid w:val="00360698"/>
    <w:rsid w:val="00371E3E"/>
    <w:rsid w:val="00385196"/>
    <w:rsid w:val="003A3C35"/>
    <w:rsid w:val="0040128C"/>
    <w:rsid w:val="00425C9E"/>
    <w:rsid w:val="00432BBF"/>
    <w:rsid w:val="00590058"/>
    <w:rsid w:val="005F21F4"/>
    <w:rsid w:val="006018EC"/>
    <w:rsid w:val="0061103C"/>
    <w:rsid w:val="00616ADF"/>
    <w:rsid w:val="00620F17"/>
    <w:rsid w:val="0062206E"/>
    <w:rsid w:val="0064479C"/>
    <w:rsid w:val="00644F89"/>
    <w:rsid w:val="006F0B59"/>
    <w:rsid w:val="00745180"/>
    <w:rsid w:val="00767BBC"/>
    <w:rsid w:val="007D7BF1"/>
    <w:rsid w:val="00814DF9"/>
    <w:rsid w:val="0082039B"/>
    <w:rsid w:val="00865A9B"/>
    <w:rsid w:val="00A662DB"/>
    <w:rsid w:val="00A674BD"/>
    <w:rsid w:val="00B45568"/>
    <w:rsid w:val="00B511E1"/>
    <w:rsid w:val="00BA4996"/>
    <w:rsid w:val="00BC28EF"/>
    <w:rsid w:val="00BD2904"/>
    <w:rsid w:val="00BE72D0"/>
    <w:rsid w:val="00C46624"/>
    <w:rsid w:val="00C771C6"/>
    <w:rsid w:val="00C909DD"/>
    <w:rsid w:val="00CF02D8"/>
    <w:rsid w:val="00CF19C1"/>
    <w:rsid w:val="00D250C2"/>
    <w:rsid w:val="00DA4404"/>
    <w:rsid w:val="00E31C64"/>
    <w:rsid w:val="00E4286F"/>
    <w:rsid w:val="00E529E3"/>
    <w:rsid w:val="00E679B4"/>
    <w:rsid w:val="00E727BB"/>
    <w:rsid w:val="00EB3091"/>
    <w:rsid w:val="00ED7A7F"/>
    <w:rsid w:val="00EF172B"/>
    <w:rsid w:val="00F3733E"/>
    <w:rsid w:val="00F466F9"/>
    <w:rsid w:val="00F531D9"/>
    <w:rsid w:val="00F91822"/>
    <w:rsid w:val="00FA58C5"/>
    <w:rsid w:val="00FB3CFC"/>
    <w:rsid w:val="00FC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73DF9"/>
  <w15:docId w15:val="{BCD8B012-D813-419F-9E77-9C3EE522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663"/>
    <w:pPr>
      <w:spacing w:line="240" w:lineRule="auto"/>
    </w:pPr>
  </w:style>
  <w:style w:type="paragraph" w:styleId="Heading1">
    <w:name w:val="heading 1"/>
    <w:basedOn w:val="Normal"/>
    <w:next w:val="Normal"/>
    <w:link w:val="Heading1Char"/>
    <w:autoRedefine/>
    <w:unhideWhenUsed/>
    <w:qFormat/>
    <w:rsid w:val="002F7E26"/>
    <w:pPr>
      <w:keepNext/>
      <w:spacing w:after="240"/>
      <w:jc w:val="center"/>
      <w:outlineLvl w:val="0"/>
    </w:pPr>
    <w:rPr>
      <w:b/>
      <w:kern w:val="28"/>
      <w:sz w:val="28"/>
      <w:u w:val="single"/>
    </w:rPr>
  </w:style>
  <w:style w:type="paragraph" w:styleId="Heading2">
    <w:name w:val="heading 2"/>
    <w:basedOn w:val="Normal"/>
    <w:next w:val="Normal"/>
    <w:link w:val="Heading2Char"/>
    <w:unhideWhenUsed/>
    <w:qFormat/>
    <w:rsid w:val="002F7E26"/>
    <w:pPr>
      <w:keepNext/>
      <w:spacing w:before="240" w:after="60"/>
      <w:outlineLvl w:val="1"/>
    </w:pPr>
    <w:rPr>
      <w:b/>
    </w:rPr>
  </w:style>
  <w:style w:type="paragraph" w:styleId="Heading3">
    <w:name w:val="heading 3"/>
    <w:basedOn w:val="Normal"/>
    <w:next w:val="Normal"/>
    <w:link w:val="Heading3Char"/>
    <w:semiHidden/>
    <w:qFormat/>
    <w:rsid w:val="002F7E26"/>
    <w:pPr>
      <w:keepNext/>
      <w:spacing w:before="240" w:after="60"/>
      <w:ind w:right="14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rsid w:val="002F7E26"/>
    <w:pPr>
      <w:tabs>
        <w:tab w:val="left" w:pos="-1440"/>
        <w:tab w:val="left" w:pos="-720"/>
      </w:tabs>
      <w:suppressAutoHyphens/>
      <w:ind w:left="1440" w:right="1440"/>
      <w:jc w:val="both"/>
    </w:pPr>
    <w:rPr>
      <w:spacing w:val="-3"/>
    </w:rPr>
  </w:style>
  <w:style w:type="paragraph" w:customStyle="1" w:styleId="Citation">
    <w:name w:val="Citation"/>
    <w:basedOn w:val="Normal"/>
    <w:autoRedefine/>
    <w:rsid w:val="002F7E26"/>
    <w:pPr>
      <w:tabs>
        <w:tab w:val="right" w:leader="dot" w:pos="9360"/>
      </w:tabs>
      <w:ind w:left="360" w:hanging="360"/>
    </w:pPr>
  </w:style>
  <w:style w:type="paragraph" w:styleId="FootnoteText">
    <w:name w:val="footnote text"/>
    <w:basedOn w:val="Normal"/>
    <w:link w:val="FootnoteTextChar"/>
    <w:uiPriority w:val="99"/>
    <w:unhideWhenUsed/>
    <w:rsid w:val="002F7E26"/>
    <w:pPr>
      <w:keepLines/>
      <w:spacing w:line="240" w:lineRule="exact"/>
      <w:jc w:val="both"/>
    </w:pPr>
  </w:style>
  <w:style w:type="character" w:customStyle="1" w:styleId="FootnoteTextChar">
    <w:name w:val="Footnote Text Char"/>
    <w:basedOn w:val="DefaultParagraphFont"/>
    <w:link w:val="FootnoteText"/>
    <w:uiPriority w:val="99"/>
    <w:rsid w:val="006F0B59"/>
  </w:style>
  <w:style w:type="character" w:customStyle="1" w:styleId="Heading1Char">
    <w:name w:val="Heading 1 Char"/>
    <w:basedOn w:val="DefaultParagraphFont"/>
    <w:link w:val="Heading1"/>
    <w:rsid w:val="006F0B59"/>
    <w:rPr>
      <w:b/>
      <w:kern w:val="28"/>
      <w:sz w:val="28"/>
      <w:u w:val="single"/>
    </w:rPr>
  </w:style>
  <w:style w:type="character" w:customStyle="1" w:styleId="Heading2Char">
    <w:name w:val="Heading 2 Char"/>
    <w:basedOn w:val="DefaultParagraphFont"/>
    <w:link w:val="Heading2"/>
    <w:rsid w:val="006F0B59"/>
    <w:rPr>
      <w:b/>
    </w:rPr>
  </w:style>
  <w:style w:type="character" w:customStyle="1" w:styleId="Heading3Char">
    <w:name w:val="Heading 3 Char"/>
    <w:basedOn w:val="DefaultParagraphFont"/>
    <w:link w:val="Heading3"/>
    <w:semiHidden/>
    <w:rsid w:val="006F0B59"/>
    <w:rPr>
      <w:rFonts w:ascii="Arial" w:hAnsi="Arial"/>
    </w:rPr>
  </w:style>
  <w:style w:type="paragraph" w:customStyle="1" w:styleId="ISSUE">
    <w:name w:val="ISSUE"/>
    <w:basedOn w:val="Normal"/>
    <w:autoRedefine/>
    <w:rsid w:val="00BD2904"/>
    <w:pPr>
      <w:numPr>
        <w:numId w:val="1"/>
      </w:numPr>
      <w:tabs>
        <w:tab w:val="left" w:pos="2160"/>
      </w:tabs>
      <w:spacing w:after="240"/>
      <w:ind w:right="1008"/>
      <w:jc w:val="both"/>
    </w:pPr>
    <w:rPr>
      <w:b/>
      <w:caps/>
    </w:rPr>
  </w:style>
  <w:style w:type="paragraph" w:customStyle="1" w:styleId="NormalDoubleSpace">
    <w:name w:val="Normal + Double Space"/>
    <w:basedOn w:val="Normal"/>
    <w:autoRedefine/>
    <w:qFormat/>
    <w:rsid w:val="00620F17"/>
    <w:pPr>
      <w:spacing w:line="480" w:lineRule="auto"/>
    </w:pPr>
  </w:style>
  <w:style w:type="paragraph" w:styleId="TOC1">
    <w:name w:val="toc 1"/>
    <w:basedOn w:val="Normal"/>
    <w:next w:val="Normal"/>
    <w:semiHidden/>
    <w:rsid w:val="002F7E26"/>
    <w:pPr>
      <w:tabs>
        <w:tab w:val="right" w:leader="dot" w:pos="9350"/>
      </w:tabs>
      <w:spacing w:before="360"/>
    </w:pPr>
    <w:rPr>
      <w:rFonts w:ascii="Arial" w:hAnsi="Arial"/>
      <w:b/>
      <w:noProof/>
    </w:rPr>
  </w:style>
  <w:style w:type="paragraph" w:styleId="TOC2">
    <w:name w:val="toc 2"/>
    <w:basedOn w:val="Normal"/>
    <w:next w:val="Normal"/>
    <w:semiHidden/>
    <w:rsid w:val="002F7E26"/>
    <w:pPr>
      <w:ind w:left="240"/>
    </w:pPr>
  </w:style>
  <w:style w:type="paragraph" w:styleId="TOC5">
    <w:name w:val="toc 5"/>
    <w:basedOn w:val="Normal"/>
    <w:next w:val="Normal"/>
    <w:semiHidden/>
    <w:rsid w:val="002F7E26"/>
    <w:pPr>
      <w:tabs>
        <w:tab w:val="left" w:pos="1440"/>
        <w:tab w:val="right" w:leader="dot" w:pos="9360"/>
      </w:tabs>
      <w:spacing w:after="240"/>
      <w:ind w:left="475" w:hanging="475"/>
    </w:pPr>
    <w:rPr>
      <w:noProof/>
    </w:rPr>
  </w:style>
  <w:style w:type="character" w:styleId="FootnoteReference">
    <w:name w:val="footnote reference"/>
    <w:basedOn w:val="DefaultParagraphFont"/>
    <w:uiPriority w:val="99"/>
    <w:semiHidden/>
    <w:unhideWhenUsed/>
    <w:rsid w:val="0064479C"/>
    <w:rPr>
      <w:vertAlign w:val="superscript"/>
    </w:rPr>
  </w:style>
  <w:style w:type="character" w:styleId="Hyperlink">
    <w:name w:val="Hyperlink"/>
    <w:basedOn w:val="DefaultParagraphFont"/>
    <w:uiPriority w:val="99"/>
    <w:semiHidden/>
    <w:rsid w:val="001F27AF"/>
    <w:rPr>
      <w:color w:val="0000FF" w:themeColor="hyperlink"/>
      <w:u w:val="single"/>
    </w:rPr>
  </w:style>
  <w:style w:type="paragraph" w:styleId="ListParagraph">
    <w:name w:val="List Paragraph"/>
    <w:basedOn w:val="Normal"/>
    <w:uiPriority w:val="34"/>
    <w:semiHidden/>
    <w:qFormat/>
    <w:rsid w:val="005F21F4"/>
    <w:pPr>
      <w:ind w:left="720"/>
      <w:contextualSpacing/>
    </w:pPr>
  </w:style>
  <w:style w:type="paragraph" w:styleId="Header">
    <w:name w:val="header"/>
    <w:basedOn w:val="Normal"/>
    <w:link w:val="HeaderChar"/>
    <w:uiPriority w:val="99"/>
    <w:unhideWhenUsed/>
    <w:rsid w:val="00D250C2"/>
    <w:pPr>
      <w:tabs>
        <w:tab w:val="center" w:pos="4680"/>
        <w:tab w:val="right" w:pos="9360"/>
      </w:tabs>
    </w:pPr>
  </w:style>
  <w:style w:type="character" w:customStyle="1" w:styleId="HeaderChar">
    <w:name w:val="Header Char"/>
    <w:basedOn w:val="DefaultParagraphFont"/>
    <w:link w:val="Header"/>
    <w:uiPriority w:val="99"/>
    <w:rsid w:val="00D250C2"/>
  </w:style>
  <w:style w:type="paragraph" w:styleId="Footer">
    <w:name w:val="footer"/>
    <w:basedOn w:val="Normal"/>
    <w:link w:val="FooterChar"/>
    <w:uiPriority w:val="99"/>
    <w:unhideWhenUsed/>
    <w:rsid w:val="00D250C2"/>
    <w:pPr>
      <w:tabs>
        <w:tab w:val="center" w:pos="4680"/>
        <w:tab w:val="right" w:pos="9360"/>
      </w:tabs>
    </w:pPr>
  </w:style>
  <w:style w:type="character" w:customStyle="1" w:styleId="FooterChar">
    <w:name w:val="Footer Char"/>
    <w:basedOn w:val="DefaultParagraphFont"/>
    <w:link w:val="Footer"/>
    <w:uiPriority w:val="99"/>
    <w:rsid w:val="00D250C2"/>
  </w:style>
  <w:style w:type="paragraph" w:styleId="BalloonText">
    <w:name w:val="Balloon Text"/>
    <w:basedOn w:val="Normal"/>
    <w:link w:val="BalloonTextChar"/>
    <w:uiPriority w:val="99"/>
    <w:semiHidden/>
    <w:rsid w:val="00432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t.capdefnet.org/sites/cdn_hat/files/Assets/public/helpful_cases/expertinvestigative_assistance_issues_ake/summaries_of_successful_cases_under_ake_2017_0.pdf" TargetMode="External"/><Relationship Id="rId3" Type="http://schemas.openxmlformats.org/officeDocument/2006/relationships/settings" Target="settings.xml"/><Relationship Id="rId7" Type="http://schemas.openxmlformats.org/officeDocument/2006/relationships/hyperlink" Target="https://hat.capdefnet.org/helpful-cases/expert-investigative-assistance-issues-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Van Campen</dc:creator>
  <cp:lastModifiedBy>Dawn Van Hoek</cp:lastModifiedBy>
  <cp:revision>2</cp:revision>
  <cp:lastPrinted>2018-11-28T17:00:00Z</cp:lastPrinted>
  <dcterms:created xsi:type="dcterms:W3CDTF">2019-01-07T22:55:00Z</dcterms:created>
  <dcterms:modified xsi:type="dcterms:W3CDTF">2019-01-07T22:55:00Z</dcterms:modified>
</cp:coreProperties>
</file>