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4107" w14:textId="77777777" w:rsidR="008864CF" w:rsidRPr="003A0591" w:rsidRDefault="008864CF" w:rsidP="008864CF">
      <w:pPr>
        <w:pStyle w:val="NormalDoubleSpace"/>
        <w:pBdr>
          <w:bottom w:val="single" w:sz="4" w:space="1" w:color="auto"/>
        </w:pBdr>
        <w:spacing w:after="120" w:line="240" w:lineRule="auto"/>
        <w:jc w:val="center"/>
        <w:rPr>
          <w:rFonts w:ascii="Garamond" w:hAnsi="Garamond"/>
          <w:b/>
          <w:u w:val="single"/>
        </w:rPr>
      </w:pPr>
      <w:r w:rsidRPr="003A0591">
        <w:rPr>
          <w:rFonts w:ascii="Garamond" w:hAnsi="Garamond"/>
          <w:b/>
          <w:u w:val="single"/>
        </w:rPr>
        <w:t>The Who, What, When,</w:t>
      </w:r>
      <w:r w:rsidR="000645CB">
        <w:rPr>
          <w:rFonts w:ascii="Garamond" w:hAnsi="Garamond"/>
          <w:b/>
          <w:u w:val="single"/>
        </w:rPr>
        <w:t xml:space="preserve"> Where, Why, and How of Experts</w:t>
      </w:r>
    </w:p>
    <w:p w14:paraId="1A079D16" w14:textId="77777777" w:rsidR="008864CF" w:rsidRPr="003A0591" w:rsidRDefault="008864CF" w:rsidP="008864CF">
      <w:pPr>
        <w:pStyle w:val="NormalDoubleSpace"/>
        <w:pBdr>
          <w:bottom w:val="single" w:sz="4" w:space="1" w:color="auto"/>
        </w:pBdr>
        <w:spacing w:after="120" w:line="240" w:lineRule="auto"/>
        <w:jc w:val="center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State Appellate Defender Office</w:t>
      </w:r>
    </w:p>
    <w:p w14:paraId="31220C11" w14:textId="77777777" w:rsidR="008864CF" w:rsidRPr="003A0591" w:rsidRDefault="008864CF" w:rsidP="008864CF">
      <w:pPr>
        <w:pStyle w:val="NormalDoubleSpace"/>
        <w:pBdr>
          <w:bottom w:val="single" w:sz="4" w:space="1" w:color="auto"/>
        </w:pBdr>
        <w:spacing w:line="240" w:lineRule="auto"/>
        <w:jc w:val="center"/>
        <w:rPr>
          <w:rFonts w:ascii="Garamond" w:hAnsi="Garamond"/>
        </w:rPr>
      </w:pPr>
      <w:r w:rsidRPr="003A0591">
        <w:rPr>
          <w:rFonts w:ascii="Garamond" w:hAnsi="Garamond"/>
        </w:rPr>
        <w:t xml:space="preserve">By Erin Van </w:t>
      </w:r>
      <w:proofErr w:type="spellStart"/>
      <w:r w:rsidRPr="003A0591">
        <w:rPr>
          <w:rFonts w:ascii="Garamond" w:hAnsi="Garamond"/>
        </w:rPr>
        <w:t>Campen</w:t>
      </w:r>
      <w:proofErr w:type="spellEnd"/>
    </w:p>
    <w:p w14:paraId="0235AF10" w14:textId="77777777" w:rsidR="008864CF" w:rsidRPr="003A0591" w:rsidRDefault="008864CF" w:rsidP="008864CF">
      <w:pPr>
        <w:pStyle w:val="NormalDoubleSpace"/>
        <w:pBdr>
          <w:bottom w:val="single" w:sz="4" w:space="1" w:color="auto"/>
        </w:pBdr>
        <w:spacing w:line="240" w:lineRule="auto"/>
        <w:jc w:val="center"/>
        <w:rPr>
          <w:rFonts w:ascii="Garamond" w:hAnsi="Garamond"/>
        </w:rPr>
      </w:pPr>
      <w:r w:rsidRPr="003A0591">
        <w:rPr>
          <w:rFonts w:ascii="Garamond" w:hAnsi="Garamond"/>
        </w:rPr>
        <w:t>evancampen@sado.org</w:t>
      </w:r>
    </w:p>
    <w:p w14:paraId="6089A5D8" w14:textId="77777777" w:rsidR="00D455D3" w:rsidRPr="003A0591" w:rsidRDefault="00D455D3" w:rsidP="00D455D3">
      <w:pPr>
        <w:pStyle w:val="NormalDoubleSpace"/>
        <w:spacing w:before="240"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 xml:space="preserve">The Right to Expert Assistance </w:t>
      </w:r>
    </w:p>
    <w:p w14:paraId="1BAC2FAE" w14:textId="77777777" w:rsidR="00D455D3" w:rsidRPr="003A0591" w:rsidRDefault="00D455D3" w:rsidP="00D455D3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Indigent defendants have the right to expert assistance at state expense</w:t>
      </w:r>
    </w:p>
    <w:p w14:paraId="37ADF962" w14:textId="77777777" w:rsidR="007A43AB" w:rsidRPr="003A0591" w:rsidRDefault="00D455D3" w:rsidP="00D455D3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Expert assistance might include</w:t>
      </w:r>
      <w:r w:rsidR="007A43AB" w:rsidRPr="003A0591">
        <w:rPr>
          <w:rFonts w:ascii="Garamond" w:hAnsi="Garamond"/>
        </w:rPr>
        <w:t>:</w:t>
      </w:r>
    </w:p>
    <w:p w14:paraId="2844EFE8" w14:textId="77777777" w:rsidR="007A43AB" w:rsidRPr="003A0591" w:rsidRDefault="007A43AB" w:rsidP="007A43AB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Performing independent testing</w:t>
      </w:r>
    </w:p>
    <w:p w14:paraId="77B45FCF" w14:textId="77777777" w:rsidR="007A43AB" w:rsidRPr="003A0591" w:rsidRDefault="007A43AB" w:rsidP="007A43AB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Evaluating the evidence</w:t>
      </w:r>
    </w:p>
    <w:p w14:paraId="5DCC81CE" w14:textId="77777777" w:rsidR="007A43AB" w:rsidRPr="003A0591" w:rsidRDefault="007A43AB" w:rsidP="007A43AB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</w:t>
      </w:r>
      <w:r w:rsidR="00D455D3" w:rsidRPr="003A0591">
        <w:rPr>
          <w:rFonts w:ascii="Garamond" w:hAnsi="Garamond"/>
        </w:rPr>
        <w:t>onsulting to help prepare a defense and for cross-examinati</w:t>
      </w:r>
      <w:r w:rsidRPr="003A0591">
        <w:rPr>
          <w:rFonts w:ascii="Garamond" w:hAnsi="Garamond"/>
        </w:rPr>
        <w:t>on of the state’s experts</w:t>
      </w:r>
    </w:p>
    <w:p w14:paraId="099CB48D" w14:textId="77777777" w:rsidR="00D455D3" w:rsidRPr="003A0591" w:rsidRDefault="007A43AB" w:rsidP="007A43AB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</w:t>
      </w:r>
      <w:r w:rsidR="00D455D3" w:rsidRPr="003A0591">
        <w:rPr>
          <w:rFonts w:ascii="Garamond" w:hAnsi="Garamond"/>
        </w:rPr>
        <w:t>estimony</w:t>
      </w:r>
    </w:p>
    <w:p w14:paraId="5BC72A3C" w14:textId="77777777" w:rsidR="00D455D3" w:rsidRPr="003A0591" w:rsidRDefault="00D455D3" w:rsidP="00D455D3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The expert should be independent of the state and available to work as part of the defense team</w:t>
      </w:r>
    </w:p>
    <w:p w14:paraId="02AC35AA" w14:textId="77777777" w:rsidR="007A43AB" w:rsidRPr="003A0591" w:rsidRDefault="007A43AB" w:rsidP="00D455D3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See </w:t>
      </w:r>
      <w:r w:rsidRPr="003A0591">
        <w:rPr>
          <w:rFonts w:ascii="Garamond" w:hAnsi="Garamond"/>
          <w:i/>
        </w:rPr>
        <w:t>Ake v Oklahoma</w:t>
      </w:r>
      <w:r w:rsidRPr="003A0591">
        <w:rPr>
          <w:rFonts w:ascii="Garamond" w:hAnsi="Garamond"/>
        </w:rPr>
        <w:t xml:space="preserve">, 470 US 68 (1985), </w:t>
      </w:r>
      <w:r w:rsidRPr="003A0591">
        <w:rPr>
          <w:rFonts w:ascii="Garamond" w:hAnsi="Garamond"/>
          <w:i/>
        </w:rPr>
        <w:t>McWilliams v Dunn</w:t>
      </w:r>
      <w:r w:rsidRPr="003A0591">
        <w:rPr>
          <w:rFonts w:ascii="Garamond" w:hAnsi="Garamond"/>
        </w:rPr>
        <w:t xml:space="preserve">, 137 S Ct 1790 (2017), </w:t>
      </w:r>
      <w:r w:rsidRPr="003A0591">
        <w:rPr>
          <w:rFonts w:ascii="Garamond" w:hAnsi="Garamond"/>
          <w:i/>
        </w:rPr>
        <w:t>People v Kennedy</w:t>
      </w:r>
      <w:r w:rsidRPr="003A0591">
        <w:rPr>
          <w:rFonts w:ascii="Garamond" w:hAnsi="Garamond"/>
        </w:rPr>
        <w:t xml:space="preserve">, 502 </w:t>
      </w:r>
      <w:proofErr w:type="spellStart"/>
      <w:r w:rsidRPr="003A0591">
        <w:rPr>
          <w:rFonts w:ascii="Garamond" w:hAnsi="Garamond"/>
        </w:rPr>
        <w:t>Mich</w:t>
      </w:r>
      <w:proofErr w:type="spellEnd"/>
      <w:r w:rsidRPr="003A0591">
        <w:rPr>
          <w:rFonts w:ascii="Garamond" w:hAnsi="Garamond"/>
        </w:rPr>
        <w:t xml:space="preserve"> 206 (2018)</w:t>
      </w:r>
    </w:p>
    <w:p w14:paraId="23936385" w14:textId="77777777" w:rsidR="00B17481" w:rsidRPr="003A0591" w:rsidRDefault="00B17481" w:rsidP="00B17481">
      <w:pPr>
        <w:spacing w:after="140" w:line="280" w:lineRule="exact"/>
        <w:rPr>
          <w:rFonts w:ascii="Garamond" w:hAnsi="Garamond"/>
        </w:rPr>
      </w:pPr>
    </w:p>
    <w:p w14:paraId="685DB7F6" w14:textId="77777777" w:rsidR="00B17481" w:rsidRPr="003A0591" w:rsidRDefault="00B17481" w:rsidP="00B17481">
      <w:pPr>
        <w:pStyle w:val="NormalDoubleSpace"/>
        <w:spacing w:before="240"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 xml:space="preserve">The Need for Expert Assistance </w:t>
      </w:r>
    </w:p>
    <w:p w14:paraId="6E67569E" w14:textId="77777777" w:rsidR="00B17481" w:rsidRPr="003A0591" w:rsidRDefault="00B17481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Constitutionally effective representation may require attorneys to consult experts in preparation for trial or sentencing, regardless of client’s indigency</w:t>
      </w:r>
    </w:p>
    <w:p w14:paraId="0D72EE14" w14:textId="77777777" w:rsidR="00B17481" w:rsidRPr="003A0591" w:rsidRDefault="00B17481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In some cases, “the only reasonable and available defense strategy requires consultation with experts or introduction of expert evidence”</w:t>
      </w:r>
    </w:p>
    <w:p w14:paraId="0D24205A" w14:textId="77777777" w:rsidR="00B17481" w:rsidRPr="003A0591" w:rsidRDefault="00B17481" w:rsidP="00B17481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See </w:t>
      </w:r>
      <w:r w:rsidRPr="003A0591">
        <w:rPr>
          <w:rFonts w:ascii="Garamond" w:hAnsi="Garamond"/>
          <w:i/>
        </w:rPr>
        <w:t>Harrington v Richter</w:t>
      </w:r>
      <w:r w:rsidRPr="003A0591">
        <w:rPr>
          <w:rFonts w:ascii="Garamond" w:hAnsi="Garamond"/>
        </w:rPr>
        <w:t>, 562 US 86, 106 (2011)</w:t>
      </w:r>
    </w:p>
    <w:p w14:paraId="3DF9E12E" w14:textId="77777777" w:rsidR="00BF12A9" w:rsidRPr="003A0591" w:rsidRDefault="00BF12A9" w:rsidP="00BF12A9">
      <w:pPr>
        <w:pStyle w:val="ListParagraph"/>
        <w:spacing w:after="140" w:line="280" w:lineRule="exact"/>
        <w:contextualSpacing w:val="0"/>
        <w:rPr>
          <w:rFonts w:ascii="Garamond" w:hAnsi="Garamond"/>
        </w:rPr>
      </w:pPr>
    </w:p>
    <w:p w14:paraId="36407C4D" w14:textId="77777777" w:rsidR="00B17481" w:rsidRPr="003A0591" w:rsidRDefault="00B17481" w:rsidP="00BF12A9">
      <w:pPr>
        <w:spacing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What makes an expert an expert?</w:t>
      </w:r>
    </w:p>
    <w:p w14:paraId="62ED6099" w14:textId="77777777" w:rsidR="007633B5" w:rsidRPr="003A0591" w:rsidRDefault="00B17481" w:rsidP="007633B5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Knowledge, skill, experience, training, or education </w:t>
      </w:r>
      <w:r w:rsidR="007633B5" w:rsidRPr="003A0591">
        <w:rPr>
          <w:rFonts w:ascii="Garamond" w:hAnsi="Garamond"/>
        </w:rPr>
        <w:t xml:space="preserve"> </w:t>
      </w:r>
    </w:p>
    <w:p w14:paraId="479FCA7D" w14:textId="77777777" w:rsidR="007633B5" w:rsidRPr="003A0591" w:rsidRDefault="007633B5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Expert testimony must be: </w:t>
      </w:r>
    </w:p>
    <w:p w14:paraId="5827EF61" w14:textId="77777777" w:rsidR="007633B5" w:rsidRPr="003A0591" w:rsidRDefault="007633B5" w:rsidP="007633B5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Based on </w:t>
      </w:r>
      <w:proofErr w:type="gramStart"/>
      <w:r w:rsidRPr="003A0591">
        <w:rPr>
          <w:rFonts w:ascii="Garamond" w:hAnsi="Garamond"/>
        </w:rPr>
        <w:t>sufficient</w:t>
      </w:r>
      <w:proofErr w:type="gramEnd"/>
      <w:r w:rsidRPr="003A0591">
        <w:rPr>
          <w:rFonts w:ascii="Garamond" w:hAnsi="Garamond"/>
        </w:rPr>
        <w:t xml:space="preserve"> facts or data</w:t>
      </w:r>
    </w:p>
    <w:p w14:paraId="0F175181" w14:textId="77777777" w:rsidR="007633B5" w:rsidRPr="003A0591" w:rsidRDefault="007633B5" w:rsidP="007633B5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The product of reliable principles and methods</w:t>
      </w:r>
    </w:p>
    <w:p w14:paraId="0C9E7F9C" w14:textId="77777777" w:rsidR="007633B5" w:rsidRPr="003A0591" w:rsidRDefault="007633B5" w:rsidP="007633B5">
      <w:pPr>
        <w:pStyle w:val="ListParagraph"/>
        <w:numPr>
          <w:ilvl w:val="1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Result from the reliable application of those principles or methods to the facts of the case</w:t>
      </w:r>
    </w:p>
    <w:p w14:paraId="37922A8F" w14:textId="77777777" w:rsidR="00B17481" w:rsidRPr="003A0591" w:rsidRDefault="007633B5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See MRE 702, </w:t>
      </w:r>
      <w:r w:rsidRPr="003A0591">
        <w:rPr>
          <w:rFonts w:ascii="Garamond" w:hAnsi="Garamond"/>
          <w:i/>
        </w:rPr>
        <w:t xml:space="preserve">People v </w:t>
      </w:r>
      <w:proofErr w:type="spellStart"/>
      <w:r w:rsidRPr="003A0591">
        <w:rPr>
          <w:rFonts w:ascii="Garamond" w:hAnsi="Garamond"/>
          <w:i/>
        </w:rPr>
        <w:t>Carll</w:t>
      </w:r>
      <w:proofErr w:type="spellEnd"/>
      <w:r w:rsidRPr="003A0591">
        <w:rPr>
          <w:rFonts w:ascii="Garamond" w:hAnsi="Garamond"/>
        </w:rPr>
        <w:t xml:space="preserve">, 322 </w:t>
      </w:r>
      <w:proofErr w:type="spellStart"/>
      <w:r w:rsidRPr="003A0591">
        <w:rPr>
          <w:rFonts w:ascii="Garamond" w:hAnsi="Garamond"/>
        </w:rPr>
        <w:t>Mich</w:t>
      </w:r>
      <w:proofErr w:type="spellEnd"/>
      <w:r w:rsidRPr="003A0591">
        <w:rPr>
          <w:rFonts w:ascii="Garamond" w:hAnsi="Garamond"/>
        </w:rPr>
        <w:t xml:space="preserve"> App 690 (2018)</w:t>
      </w:r>
    </w:p>
    <w:p w14:paraId="7D779433" w14:textId="77777777" w:rsidR="003A0591" w:rsidRDefault="003A0591" w:rsidP="00BF12A9">
      <w:pPr>
        <w:spacing w:after="140" w:line="280" w:lineRule="exact"/>
        <w:rPr>
          <w:rFonts w:ascii="Garamond" w:hAnsi="Garamond"/>
          <w:b/>
        </w:rPr>
      </w:pPr>
    </w:p>
    <w:p w14:paraId="6F7D6A13" w14:textId="77777777" w:rsidR="00B17481" w:rsidRPr="003A0591" w:rsidRDefault="00B17481" w:rsidP="00B17481">
      <w:pPr>
        <w:pStyle w:val="NormalDoubleSpace"/>
        <w:spacing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lastRenderedPageBreak/>
        <w:t>When do you need to consult an expert?</w:t>
      </w:r>
    </w:p>
    <w:p w14:paraId="395B5D5A" w14:textId="77777777" w:rsidR="00B17481" w:rsidRPr="003A0591" w:rsidRDefault="00B17481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Cases where the prosecution’s case rests on scientific, medical, or forensic evidence</w:t>
      </w:r>
    </w:p>
    <w:p w14:paraId="011928AE" w14:textId="77777777" w:rsidR="00B17481" w:rsidRPr="003A0591" w:rsidRDefault="00B17481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Cases where scientific, medical, or forensic evidence might support a defense at trial</w:t>
      </w:r>
      <w:r w:rsidR="007A43AB" w:rsidRPr="003A0591">
        <w:rPr>
          <w:rFonts w:ascii="Garamond" w:hAnsi="Garamond"/>
        </w:rPr>
        <w:t xml:space="preserve"> </w:t>
      </w:r>
    </w:p>
    <w:p w14:paraId="3D3A4CAA" w14:textId="77777777" w:rsidR="00B17481" w:rsidRPr="003A0591" w:rsidRDefault="00B17481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Cases where the</w:t>
      </w:r>
      <w:r w:rsidR="00F426B6">
        <w:rPr>
          <w:rFonts w:ascii="Garamond" w:hAnsi="Garamond"/>
        </w:rPr>
        <w:t xml:space="preserve">re is </w:t>
      </w:r>
      <w:r w:rsidRPr="003A0591">
        <w:rPr>
          <w:rFonts w:ascii="Garamond" w:hAnsi="Garamond"/>
        </w:rPr>
        <w:t>mitigation evidence</w:t>
      </w:r>
      <w:r w:rsidR="00F426B6">
        <w:rPr>
          <w:rFonts w:ascii="Garamond" w:hAnsi="Garamond"/>
        </w:rPr>
        <w:t xml:space="preserve"> to present</w:t>
      </w:r>
      <w:r w:rsidRPr="003A0591">
        <w:rPr>
          <w:rFonts w:ascii="Garamond" w:hAnsi="Garamond"/>
        </w:rPr>
        <w:t xml:space="preserve"> at sentencing</w:t>
      </w:r>
    </w:p>
    <w:p w14:paraId="009BEB1B" w14:textId="77777777" w:rsidR="00711AF9" w:rsidRPr="003A0591" w:rsidRDefault="00711AF9" w:rsidP="00B17481">
      <w:pPr>
        <w:pStyle w:val="ListParagraph"/>
        <w:numPr>
          <w:ilvl w:val="0"/>
          <w:numId w:val="2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In cases requiring expert assistance, try to begin working with the expert as soon as possible</w:t>
      </w:r>
    </w:p>
    <w:p w14:paraId="78972579" w14:textId="77777777" w:rsidR="00B17481" w:rsidRPr="003A0591" w:rsidRDefault="00B17481" w:rsidP="00FB603E">
      <w:pPr>
        <w:spacing w:after="140" w:line="280" w:lineRule="exact"/>
        <w:rPr>
          <w:rFonts w:ascii="Garamond" w:hAnsi="Garamond"/>
        </w:rPr>
      </w:pPr>
    </w:p>
    <w:p w14:paraId="59859BC7" w14:textId="77777777" w:rsidR="00FB603E" w:rsidRPr="003A0591" w:rsidRDefault="00FB603E" w:rsidP="00FB603E">
      <w:pPr>
        <w:spacing w:after="140" w:line="280" w:lineRule="exact"/>
        <w:rPr>
          <w:rFonts w:ascii="Garamond" w:hAnsi="Garamond"/>
        </w:rPr>
      </w:pPr>
      <w:r w:rsidRPr="003A0591">
        <w:rPr>
          <w:rFonts w:ascii="Garamond" w:hAnsi="Garamond"/>
          <w:b/>
        </w:rPr>
        <w:t xml:space="preserve">Common Issues Involving Experts </w:t>
      </w:r>
      <w:r w:rsidR="00F426B6">
        <w:rPr>
          <w:rFonts w:ascii="Garamond" w:hAnsi="Garamond"/>
          <w:b/>
        </w:rPr>
        <w:t>– THIS IS NOT AN EXHUASTIVE LIST</w:t>
      </w:r>
    </w:p>
    <w:p w14:paraId="75B5FA3B" w14:textId="77777777" w:rsidR="00B26D6F" w:rsidRPr="003A0591" w:rsidRDefault="00B26D6F" w:rsidP="004D6546">
      <w:pPr>
        <w:pStyle w:val="ListParagraph"/>
        <w:numPr>
          <w:ilvl w:val="0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Issues related to competency and criminal responsibility</w:t>
      </w:r>
    </w:p>
    <w:p w14:paraId="614D9A93" w14:textId="77777777" w:rsidR="00B26D6F" w:rsidRPr="003A0591" w:rsidRDefault="00B26D6F" w:rsidP="00B26D6F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proofErr w:type="spellStart"/>
      <w:r w:rsidRPr="003A0591">
        <w:rPr>
          <w:rFonts w:ascii="Garamond" w:hAnsi="Garamond"/>
          <w:i/>
        </w:rPr>
        <w:t>Drope</w:t>
      </w:r>
      <w:proofErr w:type="spellEnd"/>
      <w:r w:rsidRPr="003A0591">
        <w:rPr>
          <w:rFonts w:ascii="Garamond" w:hAnsi="Garamond"/>
          <w:i/>
        </w:rPr>
        <w:t xml:space="preserve"> v Missouri</w:t>
      </w:r>
      <w:r w:rsidRPr="003A0591">
        <w:rPr>
          <w:rFonts w:ascii="Garamond" w:hAnsi="Garamond"/>
        </w:rPr>
        <w:t>, 420 US 162 (1975)</w:t>
      </w:r>
    </w:p>
    <w:p w14:paraId="792FDE07" w14:textId="77777777" w:rsidR="004D6546" w:rsidRPr="003A0591" w:rsidRDefault="00B26D6F" w:rsidP="00B26D6F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 </w:t>
      </w:r>
      <w:r w:rsidRPr="003A0591">
        <w:rPr>
          <w:rFonts w:ascii="Garamond" w:hAnsi="Garamond"/>
          <w:i/>
        </w:rPr>
        <w:t>People v Lucas</w:t>
      </w:r>
      <w:r w:rsidRPr="003A0591">
        <w:rPr>
          <w:rFonts w:ascii="Garamond" w:hAnsi="Garamond"/>
        </w:rPr>
        <w:t xml:space="preserve">, 393 </w:t>
      </w:r>
      <w:proofErr w:type="spellStart"/>
      <w:r w:rsidRPr="003A0591">
        <w:rPr>
          <w:rFonts w:ascii="Garamond" w:hAnsi="Garamond"/>
        </w:rPr>
        <w:t>Mich</w:t>
      </w:r>
      <w:proofErr w:type="spellEnd"/>
      <w:r w:rsidRPr="003A0591">
        <w:rPr>
          <w:rFonts w:ascii="Garamond" w:hAnsi="Garamond"/>
        </w:rPr>
        <w:t xml:space="preserve"> 522 (1975)</w:t>
      </w:r>
    </w:p>
    <w:p w14:paraId="3C65B093" w14:textId="77777777" w:rsidR="00FB603E" w:rsidRPr="003A0591" w:rsidRDefault="00FB603E" w:rsidP="00FB603E">
      <w:pPr>
        <w:pStyle w:val="ListParagraph"/>
        <w:numPr>
          <w:ilvl w:val="0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Keep an eye out for cases invo</w:t>
      </w:r>
      <w:r w:rsidR="004D6546" w:rsidRPr="003A0591">
        <w:rPr>
          <w:rFonts w:ascii="Garamond" w:hAnsi="Garamond"/>
        </w:rPr>
        <w:t>lving the following</w:t>
      </w:r>
      <w:r w:rsidR="00E240C8" w:rsidRPr="003A0591">
        <w:rPr>
          <w:rFonts w:ascii="Garamond" w:hAnsi="Garamond"/>
        </w:rPr>
        <w:t xml:space="preserve"> issues or </w:t>
      </w:r>
      <w:r w:rsidRPr="003A0591">
        <w:rPr>
          <w:rFonts w:ascii="Garamond" w:hAnsi="Garamond"/>
        </w:rPr>
        <w:t>areas of science, medicine, and forensics:</w:t>
      </w:r>
    </w:p>
    <w:p w14:paraId="2433BEF6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Child sexual abuse syndrome</w:t>
      </w:r>
    </w:p>
    <w:p w14:paraId="7031A8C0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Children’s susceptibility to suggestion</w:t>
      </w:r>
    </w:p>
    <w:p w14:paraId="3C23AF3B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Shaken Baby Syndrome/Abusive Head Trauma</w:t>
      </w:r>
    </w:p>
    <w:p w14:paraId="40065069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Tool mark identification</w:t>
      </w:r>
    </w:p>
    <w:p w14:paraId="4D47AE26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DNA testing, particularly YSTR testing of mixtures</w:t>
      </w:r>
    </w:p>
    <w:p w14:paraId="51F0D81F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Arson</w:t>
      </w:r>
    </w:p>
    <w:p w14:paraId="1FA001D1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Battered Spouse Syndrome</w:t>
      </w:r>
    </w:p>
    <w:p w14:paraId="58727F9F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Accident reconstruction</w:t>
      </w:r>
    </w:p>
    <w:p w14:paraId="3B96E8A7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Cell phone</w:t>
      </w:r>
      <w:r w:rsidR="007A43AB" w:rsidRPr="003A0591">
        <w:rPr>
          <w:rFonts w:ascii="Garamond" w:hAnsi="Garamond"/>
        </w:rPr>
        <w:t xml:space="preserve"> or cell tower</w:t>
      </w:r>
      <w:r w:rsidRPr="003A0591">
        <w:rPr>
          <w:rFonts w:ascii="Garamond" w:hAnsi="Garamond"/>
        </w:rPr>
        <w:t xml:space="preserve"> data</w:t>
      </w:r>
    </w:p>
    <w:p w14:paraId="27682C1B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Eyewitness identification</w:t>
      </w:r>
    </w:p>
    <w:p w14:paraId="6270CEB0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Psychology, including competency and criminal responsibility</w:t>
      </w:r>
    </w:p>
    <w:p w14:paraId="1CB62FB3" w14:textId="77777777" w:rsidR="00E240C8" w:rsidRPr="003A0591" w:rsidRDefault="00E240C8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Sexual delinquency</w:t>
      </w:r>
    </w:p>
    <w:p w14:paraId="14509FE0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Forensic and/or Neuropathology</w:t>
      </w:r>
    </w:p>
    <w:p w14:paraId="7412108A" w14:textId="77777777" w:rsidR="004D6546" w:rsidRPr="003A0591" w:rsidRDefault="004D6546" w:rsidP="004D6546">
      <w:pPr>
        <w:pStyle w:val="ListParagraph"/>
        <w:numPr>
          <w:ilvl w:val="1"/>
          <w:numId w:val="5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This list is not </w:t>
      </w:r>
      <w:proofErr w:type="gramStart"/>
      <w:r w:rsidRPr="003A0591">
        <w:rPr>
          <w:rFonts w:ascii="Garamond" w:hAnsi="Garamond"/>
        </w:rPr>
        <w:t>exhaustive</w:t>
      </w:r>
      <w:proofErr w:type="gramEnd"/>
      <w:r w:rsidRPr="003A0591">
        <w:rPr>
          <w:rFonts w:ascii="Garamond" w:hAnsi="Garamond"/>
        </w:rPr>
        <w:t xml:space="preserve"> and attorneys should be vigilant, especially</w:t>
      </w:r>
      <w:r w:rsidR="008D7C89">
        <w:rPr>
          <w:rFonts w:ascii="Garamond" w:hAnsi="Garamond"/>
        </w:rPr>
        <w:t xml:space="preserve"> when anticipating prosecution expert</w:t>
      </w:r>
      <w:r w:rsidRPr="003A0591">
        <w:rPr>
          <w:rFonts w:ascii="Garamond" w:hAnsi="Garamond"/>
        </w:rPr>
        <w:t xml:space="preserve"> testimony or other evidence presented as </w:t>
      </w:r>
      <w:r w:rsidR="007A43AB" w:rsidRPr="003A0591">
        <w:rPr>
          <w:rFonts w:ascii="Garamond" w:hAnsi="Garamond"/>
        </w:rPr>
        <w:t xml:space="preserve">reflecting </w:t>
      </w:r>
      <w:r w:rsidRPr="003A0591">
        <w:rPr>
          <w:rFonts w:ascii="Garamond" w:hAnsi="Garamond"/>
        </w:rPr>
        <w:t>expertise</w:t>
      </w:r>
    </w:p>
    <w:p w14:paraId="741178DD" w14:textId="77777777" w:rsidR="003A0591" w:rsidRDefault="003A0591" w:rsidP="00BF12A9">
      <w:pPr>
        <w:spacing w:after="140" w:line="280" w:lineRule="exact"/>
        <w:rPr>
          <w:rFonts w:ascii="Garamond" w:hAnsi="Garamond"/>
          <w:b/>
        </w:rPr>
      </w:pPr>
    </w:p>
    <w:p w14:paraId="5D56A481" w14:textId="77777777" w:rsidR="00BF12A9" w:rsidRPr="003A0591" w:rsidRDefault="00B17481" w:rsidP="00BF12A9">
      <w:pPr>
        <w:spacing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How do you find the right expert for your case?</w:t>
      </w:r>
    </w:p>
    <w:p w14:paraId="5FF1CA32" w14:textId="77777777" w:rsidR="00BF12A9" w:rsidRPr="003A0591" w:rsidRDefault="00BF12A9" w:rsidP="00BF12A9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Know your </w:t>
      </w:r>
      <w:r w:rsidR="008D7C89">
        <w:rPr>
          <w:rFonts w:ascii="Garamond" w:hAnsi="Garamond"/>
        </w:rPr>
        <w:t>case, including all discovery materials</w:t>
      </w:r>
    </w:p>
    <w:p w14:paraId="59E6B821" w14:textId="77777777" w:rsidR="00BF12A9" w:rsidRPr="003A0591" w:rsidRDefault="00BF12A9" w:rsidP="00BF12A9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lastRenderedPageBreak/>
        <w:t xml:space="preserve">Identify any scientific, medical, forensic evidence the prosecution </w:t>
      </w:r>
      <w:r w:rsidR="008D7C89">
        <w:rPr>
          <w:rFonts w:ascii="Garamond" w:hAnsi="Garamond"/>
        </w:rPr>
        <w:t>is likely to rely on</w:t>
      </w:r>
      <w:r w:rsidRPr="003A0591">
        <w:rPr>
          <w:rFonts w:ascii="Garamond" w:hAnsi="Garamond"/>
        </w:rPr>
        <w:t xml:space="preserve"> to prove their case</w:t>
      </w:r>
    </w:p>
    <w:p w14:paraId="0332AD46" w14:textId="77777777" w:rsidR="00BF12A9" w:rsidRPr="003A0591" w:rsidRDefault="00BF12A9" w:rsidP="00BF12A9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Identify places where scientific, medical, or forensic testimony or evidence might help establish a defense to the prosecution’s case</w:t>
      </w:r>
    </w:p>
    <w:p w14:paraId="4A2DFD64" w14:textId="77777777" w:rsidR="00BF12A9" w:rsidRPr="003A0591" w:rsidRDefault="00BF12A9" w:rsidP="00BF12A9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Do some preliminary research about that field of expertise</w:t>
      </w:r>
    </w:p>
    <w:p w14:paraId="615ED08D" w14:textId="77777777" w:rsidR="00BF12A9" w:rsidRPr="003A0591" w:rsidRDefault="00BF12A9" w:rsidP="00BF12A9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Online research</w:t>
      </w:r>
    </w:p>
    <w:p w14:paraId="0D739F4C" w14:textId="77777777" w:rsidR="00BF12A9" w:rsidRPr="003A0591" w:rsidRDefault="00BF12A9" w:rsidP="00BF12A9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Defense attorney forums, list servs</w:t>
      </w:r>
      <w:r w:rsidR="00E240C8" w:rsidRPr="003A0591">
        <w:rPr>
          <w:rFonts w:ascii="Garamond" w:hAnsi="Garamond"/>
        </w:rPr>
        <w:t>, SADO’s expert database</w:t>
      </w:r>
    </w:p>
    <w:p w14:paraId="27B2D391" w14:textId="77777777" w:rsidR="00E951DC" w:rsidRPr="003A0591" w:rsidRDefault="00E951DC" w:rsidP="00BF12A9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Journal articles</w:t>
      </w:r>
    </w:p>
    <w:p w14:paraId="126B3AEB" w14:textId="77777777" w:rsidR="00BF12A9" w:rsidRPr="003A0591" w:rsidRDefault="00BF12A9" w:rsidP="00BF12A9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National Academy of Sciences papers, including </w:t>
      </w:r>
      <w:r w:rsidRPr="003A0591">
        <w:rPr>
          <w:rFonts w:ascii="Garamond" w:hAnsi="Garamond"/>
          <w:i/>
        </w:rPr>
        <w:t xml:space="preserve">Strengthening Forensic Science in the United States </w:t>
      </w:r>
      <w:r w:rsidRPr="003A0591">
        <w:rPr>
          <w:rFonts w:ascii="Garamond" w:hAnsi="Garamond"/>
        </w:rPr>
        <w:t xml:space="preserve">(2009), available online at: </w:t>
      </w:r>
      <w:hyperlink r:id="rId7" w:history="1">
        <w:r w:rsidRPr="003A0591">
          <w:rPr>
            <w:rStyle w:val="Hyperlink"/>
            <w:rFonts w:ascii="Garamond" w:hAnsi="Garamond"/>
          </w:rPr>
          <w:t>https://www.ncjrs.gov/pdffiles1/nij/grants/228091.pdf</w:t>
        </w:r>
      </w:hyperlink>
    </w:p>
    <w:p w14:paraId="36C009A9" w14:textId="77777777" w:rsidR="00E240C8" w:rsidRPr="003A0591" w:rsidRDefault="00B26D6F" w:rsidP="0090283B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Talk to potential experts and talk to others about them</w:t>
      </w:r>
    </w:p>
    <w:p w14:paraId="003F6C65" w14:textId="77777777" w:rsidR="000645CB" w:rsidRDefault="00E240C8" w:rsidP="0090283B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A</w:t>
      </w:r>
      <w:r w:rsidR="0090283B" w:rsidRPr="003A0591">
        <w:rPr>
          <w:rFonts w:ascii="Garamond" w:hAnsi="Garamond"/>
        </w:rPr>
        <w:t>sk for referrals</w:t>
      </w:r>
      <w:r w:rsidRPr="003A0591">
        <w:rPr>
          <w:rFonts w:ascii="Garamond" w:hAnsi="Garamond"/>
        </w:rPr>
        <w:t xml:space="preserve"> from other attorneys, law school clinics</w:t>
      </w:r>
    </w:p>
    <w:p w14:paraId="1C2E038F" w14:textId="77777777" w:rsidR="000645CB" w:rsidRDefault="000645CB" w:rsidP="0090283B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>
        <w:rPr>
          <w:rFonts w:ascii="Garamond" w:hAnsi="Garamond"/>
        </w:rPr>
        <w:t>Get creative</w:t>
      </w:r>
    </w:p>
    <w:p w14:paraId="2C4B4684" w14:textId="77777777" w:rsidR="000645CB" w:rsidRDefault="000645CB" w:rsidP="000645C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Work with someone who has the expertise you are looking for, but who may have less</w:t>
      </w:r>
      <w:r>
        <w:rPr>
          <w:rFonts w:ascii="Garamond" w:hAnsi="Garamond"/>
        </w:rPr>
        <w:t xml:space="preserve"> or no</w:t>
      </w:r>
      <w:r w:rsidRPr="003A0591">
        <w:rPr>
          <w:rFonts w:ascii="Garamond" w:hAnsi="Garamond"/>
        </w:rPr>
        <w:t xml:space="preserve"> experience as an expert witness</w:t>
      </w:r>
    </w:p>
    <w:p w14:paraId="5EDCF557" w14:textId="77777777" w:rsidR="000645CB" w:rsidRPr="003A0591" w:rsidRDefault="000645CB" w:rsidP="000645CB">
      <w:pPr>
        <w:pStyle w:val="ListParagraph"/>
        <w:numPr>
          <w:ilvl w:val="2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See </w:t>
      </w:r>
      <w:r w:rsidRPr="003A0591">
        <w:rPr>
          <w:rFonts w:ascii="Garamond" w:hAnsi="Garamond"/>
          <w:i/>
        </w:rPr>
        <w:t xml:space="preserve">People v </w:t>
      </w:r>
      <w:proofErr w:type="spellStart"/>
      <w:r w:rsidRPr="003A0591">
        <w:rPr>
          <w:rFonts w:ascii="Garamond" w:hAnsi="Garamond"/>
          <w:i/>
        </w:rPr>
        <w:t>Carll</w:t>
      </w:r>
      <w:proofErr w:type="spellEnd"/>
      <w:r w:rsidRPr="003A0591">
        <w:rPr>
          <w:rFonts w:ascii="Garamond" w:hAnsi="Garamond"/>
        </w:rPr>
        <w:t xml:space="preserve">, 322 </w:t>
      </w:r>
      <w:proofErr w:type="spellStart"/>
      <w:r w:rsidRPr="003A0591">
        <w:rPr>
          <w:rFonts w:ascii="Garamond" w:hAnsi="Garamond"/>
        </w:rPr>
        <w:t>Mich</w:t>
      </w:r>
      <w:proofErr w:type="spellEnd"/>
      <w:r w:rsidRPr="003A0591">
        <w:rPr>
          <w:rFonts w:ascii="Garamond" w:hAnsi="Garamond"/>
        </w:rPr>
        <w:t xml:space="preserve"> App 690 (2018)</w:t>
      </w:r>
    </w:p>
    <w:p w14:paraId="5DBCFE12" w14:textId="77777777" w:rsidR="000645CB" w:rsidRPr="000645CB" w:rsidRDefault="000645CB" w:rsidP="000645C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0645CB">
        <w:rPr>
          <w:rFonts w:ascii="Garamond" w:hAnsi="Garamond"/>
        </w:rPr>
        <w:t>Reach out to local universities</w:t>
      </w:r>
    </w:p>
    <w:p w14:paraId="366BCEDB" w14:textId="77777777" w:rsidR="00BF12A9" w:rsidRPr="003A0591" w:rsidRDefault="00BF12A9" w:rsidP="00BF12A9">
      <w:pPr>
        <w:spacing w:after="140" w:line="280" w:lineRule="exact"/>
        <w:rPr>
          <w:rFonts w:ascii="Garamond" w:hAnsi="Garamond"/>
        </w:rPr>
      </w:pPr>
    </w:p>
    <w:p w14:paraId="60EB8AFD" w14:textId="77777777" w:rsidR="00E240C8" w:rsidRPr="003A0591" w:rsidRDefault="00E240C8" w:rsidP="00E240C8">
      <w:pPr>
        <w:spacing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How to get money for experts</w:t>
      </w:r>
    </w:p>
    <w:p w14:paraId="473FE72C" w14:textId="77777777" w:rsidR="00E240C8" w:rsidRPr="003A0591" w:rsidRDefault="008D7C89" w:rsidP="00E240C8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>
        <w:rPr>
          <w:rFonts w:ascii="Garamond" w:hAnsi="Garamond"/>
        </w:rPr>
        <w:t>Request funds through the appropriate procedures</w:t>
      </w:r>
    </w:p>
    <w:p w14:paraId="799465F6" w14:textId="77777777" w:rsidR="00E240C8" w:rsidRPr="003A0591" w:rsidRDefault="00E240C8" w:rsidP="00E240C8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Newly clarified (and constitutional) standard:</w:t>
      </w:r>
    </w:p>
    <w:p w14:paraId="4D188C8C" w14:textId="77777777" w:rsidR="00E240C8" w:rsidRPr="003A0591" w:rsidRDefault="00E240C8" w:rsidP="00E240C8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Defendant must show the trial court that there exists a reasonable probability both that:</w:t>
      </w:r>
    </w:p>
    <w:p w14:paraId="41D4AC34" w14:textId="77777777" w:rsidR="00E240C8" w:rsidRPr="003A0591" w:rsidRDefault="00E240C8" w:rsidP="00E240C8">
      <w:pPr>
        <w:pStyle w:val="ListParagraph"/>
        <w:numPr>
          <w:ilvl w:val="2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An expert would be of assistance to the defense; and </w:t>
      </w:r>
    </w:p>
    <w:p w14:paraId="16DF1C76" w14:textId="77777777" w:rsidR="00711AF9" w:rsidRPr="003A0591" w:rsidRDefault="00E240C8" w:rsidP="00711AF9">
      <w:pPr>
        <w:pStyle w:val="ListParagraph"/>
        <w:numPr>
          <w:ilvl w:val="2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That denial of expert assistance would result in a fundamentally unfair trial</w:t>
      </w:r>
    </w:p>
    <w:p w14:paraId="08539EFB" w14:textId="77777777" w:rsidR="007708AD" w:rsidRPr="003A0591" w:rsidRDefault="007708AD" w:rsidP="007708AD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Support your request using caselaw and other materials, such as the M</w:t>
      </w:r>
      <w:r w:rsidR="007335CA">
        <w:rPr>
          <w:rFonts w:ascii="Garamond" w:hAnsi="Garamond"/>
        </w:rPr>
        <w:t>IDC</w:t>
      </w:r>
      <w:r w:rsidRPr="003A0591">
        <w:rPr>
          <w:rFonts w:ascii="Garamond" w:hAnsi="Garamond"/>
        </w:rPr>
        <w:t xml:space="preserve">’s white paper on Investigation and Experts, available at: </w:t>
      </w:r>
      <w:hyperlink r:id="rId8" w:history="1">
        <w:r w:rsidRPr="003A0591">
          <w:rPr>
            <w:rStyle w:val="Hyperlink"/>
            <w:rFonts w:ascii="Garamond" w:hAnsi="Garamond"/>
          </w:rPr>
          <w:t>http://michiganidc.gov/wp-content/uploads/2017/03/White-Paper-3-Experts-and-Investigators.pdf</w:t>
        </w:r>
      </w:hyperlink>
      <w:r w:rsidRPr="003A0591">
        <w:rPr>
          <w:rFonts w:ascii="Garamond" w:hAnsi="Garamond"/>
        </w:rPr>
        <w:t xml:space="preserve"> </w:t>
      </w:r>
    </w:p>
    <w:p w14:paraId="0B06BAEF" w14:textId="77777777" w:rsidR="00E240C8" w:rsidRPr="003A0591" w:rsidRDefault="00E240C8" w:rsidP="00E240C8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Sample motions and language for motions provided </w:t>
      </w:r>
      <w:r w:rsidR="008D7C89">
        <w:rPr>
          <w:rFonts w:ascii="Garamond" w:hAnsi="Garamond"/>
        </w:rPr>
        <w:t>in handouts</w:t>
      </w:r>
    </w:p>
    <w:p w14:paraId="1C3E1BB3" w14:textId="77777777" w:rsidR="00711AF9" w:rsidRPr="003A0591" w:rsidRDefault="00711AF9" w:rsidP="00E240C8">
      <w:pPr>
        <w:spacing w:after="140" w:line="280" w:lineRule="exact"/>
        <w:rPr>
          <w:rFonts w:ascii="Garamond" w:hAnsi="Garamond"/>
          <w:b/>
        </w:rPr>
      </w:pPr>
    </w:p>
    <w:p w14:paraId="15B95056" w14:textId="77777777" w:rsidR="00E240C8" w:rsidRPr="003A0591" w:rsidRDefault="00E240C8" w:rsidP="00E240C8">
      <w:pPr>
        <w:spacing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What if I can’t get the money?</w:t>
      </w:r>
    </w:p>
    <w:p w14:paraId="014BB076" w14:textId="77777777" w:rsidR="00E240C8" w:rsidRPr="003A0591" w:rsidRDefault="00E240C8" w:rsidP="00E240C8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Make sure the record reflects your efforts</w:t>
      </w:r>
      <w:r w:rsidR="008D7C89">
        <w:rPr>
          <w:rFonts w:ascii="Garamond" w:hAnsi="Garamond"/>
        </w:rPr>
        <w:t xml:space="preserve"> – this is especially important to preserve the issue for appeal</w:t>
      </w:r>
    </w:p>
    <w:p w14:paraId="4FBD61B4" w14:textId="77777777" w:rsidR="00E240C8" w:rsidRPr="003A0591" w:rsidRDefault="00E240C8" w:rsidP="00B17481">
      <w:pPr>
        <w:spacing w:after="140" w:line="280" w:lineRule="exact"/>
        <w:rPr>
          <w:rFonts w:ascii="Garamond" w:hAnsi="Garamond"/>
          <w:b/>
        </w:rPr>
      </w:pPr>
    </w:p>
    <w:p w14:paraId="2F5A1122" w14:textId="77777777" w:rsidR="00B17481" w:rsidRPr="003A0591" w:rsidRDefault="00B17481" w:rsidP="00B17481">
      <w:pPr>
        <w:spacing w:after="140" w:line="280" w:lineRule="exact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Make it easy for the expert to work with you</w:t>
      </w:r>
    </w:p>
    <w:p w14:paraId="2D500305" w14:textId="77777777" w:rsidR="00B17481" w:rsidRPr="003A0591" w:rsidRDefault="007633B5" w:rsidP="00B17481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Be clear about what you need/expect from the expert</w:t>
      </w:r>
    </w:p>
    <w:p w14:paraId="71909D19" w14:textId="77777777" w:rsidR="007633B5" w:rsidRPr="003A0591" w:rsidRDefault="007633B5" w:rsidP="00B17481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Make sure you understand what the expert needs/expects from you</w:t>
      </w:r>
    </w:p>
    <w:p w14:paraId="53E7B075" w14:textId="77777777" w:rsidR="007633B5" w:rsidRPr="003A0591" w:rsidRDefault="007633B5" w:rsidP="00B17481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Stay in touch with the expert and keep the expert updated throughout the proceedings</w:t>
      </w:r>
    </w:p>
    <w:p w14:paraId="7A695364" w14:textId="77777777" w:rsidR="007633B5" w:rsidRPr="003A0591" w:rsidRDefault="007633B5" w:rsidP="00B17481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Don’t hide ba</w:t>
      </w:r>
      <w:r w:rsidR="0090283B" w:rsidRPr="003A0591">
        <w:rPr>
          <w:rFonts w:ascii="Garamond" w:hAnsi="Garamond"/>
        </w:rPr>
        <w:t>d</w:t>
      </w:r>
      <w:r w:rsidRPr="003A0591">
        <w:rPr>
          <w:rFonts w:ascii="Garamond" w:hAnsi="Garamond"/>
        </w:rPr>
        <w:t xml:space="preserve"> facts the expert will eventually learn anyway</w:t>
      </w:r>
    </w:p>
    <w:p w14:paraId="35B109D5" w14:textId="77777777" w:rsidR="007633B5" w:rsidRPr="003A0591" w:rsidRDefault="007633B5" w:rsidP="00B17481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Avoid the document dump</w:t>
      </w:r>
    </w:p>
    <w:p w14:paraId="63D2F66F" w14:textId="77777777" w:rsidR="0090283B" w:rsidRPr="003A0591" w:rsidRDefault="0090283B" w:rsidP="0090283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But be sure to provide them with reports/summaries from all prosecution experts, all expert testimony, and records of the underlying basis for that testimony</w:t>
      </w:r>
    </w:p>
    <w:p w14:paraId="2F44FA29" w14:textId="77777777" w:rsidR="007633B5" w:rsidRPr="003A0591" w:rsidRDefault="007633B5" w:rsidP="00B17481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 xml:space="preserve">Do whatever you can to save the expert time (and </w:t>
      </w:r>
      <w:proofErr w:type="gramStart"/>
      <w:r w:rsidRPr="003A0591">
        <w:rPr>
          <w:rFonts w:ascii="Garamond" w:hAnsi="Garamond"/>
        </w:rPr>
        <w:t>you</w:t>
      </w:r>
      <w:proofErr w:type="gramEnd"/>
      <w:r w:rsidRPr="003A0591">
        <w:rPr>
          <w:rFonts w:ascii="Garamond" w:hAnsi="Garamond"/>
        </w:rPr>
        <w:t xml:space="preserve"> money)</w:t>
      </w:r>
    </w:p>
    <w:p w14:paraId="043DB7B6" w14:textId="77777777" w:rsidR="007633B5" w:rsidRPr="003A0591" w:rsidRDefault="007633B5" w:rsidP="007633B5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Offer to take notes during your meetings, prepare summaries to make sure you are on the same page</w:t>
      </w:r>
    </w:p>
    <w:p w14:paraId="4EBD792A" w14:textId="77777777" w:rsidR="007633B5" w:rsidRPr="003A0591" w:rsidRDefault="007633B5" w:rsidP="007633B5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Offer to draft affidavits or reports based on meetings with the expert</w:t>
      </w:r>
    </w:p>
    <w:p w14:paraId="55DE1500" w14:textId="77777777" w:rsidR="007708AD" w:rsidRPr="003A0591" w:rsidRDefault="007708AD" w:rsidP="0090283B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If your expert will be preparing a report or affidavit, make sure you speak with them before they write the report</w:t>
      </w:r>
    </w:p>
    <w:p w14:paraId="43D88B8C" w14:textId="77777777" w:rsidR="007708AD" w:rsidRPr="003A0591" w:rsidRDefault="007708AD" w:rsidP="007708AD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See if they will allow you to review a draft report so that you can help shape the final product to fit your case</w:t>
      </w:r>
    </w:p>
    <w:p w14:paraId="656E5EF0" w14:textId="77777777" w:rsidR="007708AD" w:rsidRPr="003A0591" w:rsidRDefault="007708AD" w:rsidP="007708AD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Clear and regular communication is key to getting what you need from the expert</w:t>
      </w:r>
    </w:p>
    <w:p w14:paraId="563CF84D" w14:textId="77777777" w:rsidR="0090283B" w:rsidRPr="003A0591" w:rsidRDefault="0090283B" w:rsidP="0090283B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If your expert will be testifying, take the time to prepare the expert</w:t>
      </w:r>
    </w:p>
    <w:p w14:paraId="7C0E7703" w14:textId="77777777" w:rsidR="0090283B" w:rsidRPr="003A0591" w:rsidRDefault="0090283B" w:rsidP="0090283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Provide an outline of topics you plan to cover</w:t>
      </w:r>
    </w:p>
    <w:p w14:paraId="51F8B483" w14:textId="77777777" w:rsidR="0090283B" w:rsidRPr="003A0591" w:rsidRDefault="0090283B" w:rsidP="0090283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Make sure they know where to go and when</w:t>
      </w:r>
    </w:p>
    <w:p w14:paraId="4D31DA55" w14:textId="77777777" w:rsidR="0090283B" w:rsidRPr="003A0591" w:rsidRDefault="0090283B" w:rsidP="0090283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Make sure any necessary arrangements are made for demonstratives, exhibits, or technology</w:t>
      </w:r>
    </w:p>
    <w:p w14:paraId="0C91D96E" w14:textId="77777777" w:rsidR="0090283B" w:rsidRPr="003A0591" w:rsidRDefault="007A43AB" w:rsidP="0090283B">
      <w:pPr>
        <w:pStyle w:val="ListParagraph"/>
        <w:numPr>
          <w:ilvl w:val="1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Let your expert know what to expect from the judge or prosecutor</w:t>
      </w:r>
    </w:p>
    <w:p w14:paraId="524F0FAD" w14:textId="77777777" w:rsidR="0090283B" w:rsidRPr="003A0591" w:rsidRDefault="0090283B" w:rsidP="0090283B">
      <w:pPr>
        <w:pStyle w:val="ListParagraph"/>
        <w:numPr>
          <w:ilvl w:val="0"/>
          <w:numId w:val="4"/>
        </w:numPr>
        <w:spacing w:after="140" w:line="280" w:lineRule="exact"/>
        <w:contextualSpacing w:val="0"/>
        <w:rPr>
          <w:rFonts w:ascii="Garamond" w:hAnsi="Garamond"/>
        </w:rPr>
      </w:pPr>
      <w:r w:rsidRPr="003A0591">
        <w:rPr>
          <w:rFonts w:ascii="Garamond" w:hAnsi="Garamond"/>
        </w:rPr>
        <w:t>The easier you make it for the expert to work with you, the easier it will be for you to work with them in the future</w:t>
      </w:r>
    </w:p>
    <w:p w14:paraId="3E193AF6" w14:textId="77777777" w:rsidR="0090283B" w:rsidRPr="003A0591" w:rsidRDefault="0090283B" w:rsidP="00A87225">
      <w:pPr>
        <w:spacing w:after="140" w:line="280" w:lineRule="exact"/>
        <w:rPr>
          <w:rFonts w:ascii="Garamond" w:hAnsi="Garamond"/>
        </w:rPr>
      </w:pPr>
    </w:p>
    <w:p w14:paraId="68F7C469" w14:textId="77777777" w:rsidR="008864CF" w:rsidRPr="003A0591" w:rsidRDefault="008864CF" w:rsidP="00711AF9">
      <w:pPr>
        <w:pStyle w:val="NormalDoubleSpace"/>
        <w:spacing w:line="240" w:lineRule="auto"/>
        <w:rPr>
          <w:rFonts w:ascii="Garamond" w:hAnsi="Garamond"/>
          <w:b/>
        </w:rPr>
      </w:pPr>
      <w:r w:rsidRPr="003A0591">
        <w:rPr>
          <w:rFonts w:ascii="Garamond" w:hAnsi="Garamond"/>
          <w:b/>
        </w:rPr>
        <w:t>Additional Resources (</w:t>
      </w:r>
      <w:r w:rsidR="007335CA">
        <w:rPr>
          <w:rFonts w:ascii="Garamond" w:hAnsi="Garamond"/>
          <w:b/>
        </w:rPr>
        <w:t>included with CAP handouts</w:t>
      </w:r>
      <w:r w:rsidRPr="003A0591">
        <w:rPr>
          <w:rFonts w:ascii="Garamond" w:hAnsi="Garamond"/>
          <w:b/>
        </w:rPr>
        <w:t>):</w:t>
      </w:r>
    </w:p>
    <w:p w14:paraId="0436D035" w14:textId="77777777" w:rsidR="008864CF" w:rsidRPr="003A0591" w:rsidRDefault="008864CF" w:rsidP="008864CF">
      <w:pPr>
        <w:pStyle w:val="NormalDoubleSpace"/>
        <w:spacing w:line="240" w:lineRule="auto"/>
        <w:rPr>
          <w:rFonts w:ascii="Garamond" w:hAnsi="Garamond"/>
        </w:rPr>
      </w:pPr>
    </w:p>
    <w:p w14:paraId="45DE2F7C" w14:textId="77777777" w:rsidR="008864CF" w:rsidRPr="000A6188" w:rsidRDefault="007335CA" w:rsidP="008864CF">
      <w:pPr>
        <w:pStyle w:val="NormalDoubleSpace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Kennedy Cheat Sheet</w:t>
      </w:r>
    </w:p>
    <w:p w14:paraId="77D084A8" w14:textId="77777777" w:rsidR="008864CF" w:rsidRPr="003A0591" w:rsidRDefault="008864CF" w:rsidP="008864CF">
      <w:pPr>
        <w:pStyle w:val="NormalDoubleSpace"/>
        <w:spacing w:line="240" w:lineRule="auto"/>
        <w:rPr>
          <w:rFonts w:ascii="Garamond" w:hAnsi="Garamond"/>
        </w:rPr>
      </w:pPr>
    </w:p>
    <w:p w14:paraId="157E0E5B" w14:textId="77777777" w:rsidR="00465BCB" w:rsidRPr="00D85E86" w:rsidRDefault="00465BCB" w:rsidP="00465BCB">
      <w:pPr>
        <w:spacing w:line="48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14:paraId="1FF96D23" w14:textId="77777777" w:rsidR="008864CF" w:rsidRPr="0066024A" w:rsidRDefault="008864CF" w:rsidP="003A0591">
      <w:pPr>
        <w:spacing w:line="480" w:lineRule="auto"/>
        <w:rPr>
          <w:rFonts w:ascii="Garamond" w:hAnsi="Garamond"/>
          <w:sz w:val="28"/>
          <w:szCs w:val="28"/>
        </w:rPr>
      </w:pPr>
    </w:p>
    <w:sectPr w:rsidR="008864CF" w:rsidRPr="006602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204D" w14:textId="77777777" w:rsidR="003A0591" w:rsidRDefault="003A0591" w:rsidP="003A0591">
      <w:r>
        <w:separator/>
      </w:r>
    </w:p>
  </w:endnote>
  <w:endnote w:type="continuationSeparator" w:id="0">
    <w:p w14:paraId="3408EC18" w14:textId="77777777" w:rsidR="003A0591" w:rsidRDefault="003A0591" w:rsidP="003A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129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2C3CA" w14:textId="77777777" w:rsidR="007335CA" w:rsidRDefault="00733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E032F" w14:textId="77777777" w:rsidR="0066024A" w:rsidRPr="003A0591" w:rsidRDefault="0066024A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B985" w14:textId="77777777" w:rsidR="003A0591" w:rsidRDefault="003A0591" w:rsidP="003A0591">
      <w:r>
        <w:separator/>
      </w:r>
    </w:p>
  </w:footnote>
  <w:footnote w:type="continuationSeparator" w:id="0">
    <w:p w14:paraId="465AB64A" w14:textId="77777777" w:rsidR="003A0591" w:rsidRDefault="003A0591" w:rsidP="003A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381"/>
    <w:multiLevelType w:val="hybridMultilevel"/>
    <w:tmpl w:val="ECA4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0628"/>
    <w:multiLevelType w:val="hybridMultilevel"/>
    <w:tmpl w:val="B74C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587"/>
    <w:multiLevelType w:val="hybridMultilevel"/>
    <w:tmpl w:val="F7F6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1844"/>
    <w:multiLevelType w:val="multilevel"/>
    <w:tmpl w:val="FAC896B4"/>
    <w:lvl w:ilvl="0">
      <w:start w:val="1"/>
      <w:numFmt w:val="upperRoman"/>
      <w:pStyle w:val="ISSUE"/>
      <w:lvlText w:val="%1."/>
      <w:lvlJc w:val="right"/>
      <w:pPr>
        <w:ind w:left="180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7DA97EB2"/>
    <w:multiLevelType w:val="hybridMultilevel"/>
    <w:tmpl w:val="A574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CF"/>
    <w:rsid w:val="000645CB"/>
    <w:rsid w:val="000A6188"/>
    <w:rsid w:val="001A64FA"/>
    <w:rsid w:val="001C1910"/>
    <w:rsid w:val="002C4470"/>
    <w:rsid w:val="002F7E26"/>
    <w:rsid w:val="00342428"/>
    <w:rsid w:val="003A0591"/>
    <w:rsid w:val="003A3C35"/>
    <w:rsid w:val="003F45F5"/>
    <w:rsid w:val="00465BCB"/>
    <w:rsid w:val="004B5C15"/>
    <w:rsid w:val="004D6546"/>
    <w:rsid w:val="006018EC"/>
    <w:rsid w:val="006140BA"/>
    <w:rsid w:val="00620F17"/>
    <w:rsid w:val="00644F89"/>
    <w:rsid w:val="0066024A"/>
    <w:rsid w:val="006F0B59"/>
    <w:rsid w:val="00702D7E"/>
    <w:rsid w:val="007036CF"/>
    <w:rsid w:val="00711AF9"/>
    <w:rsid w:val="007335CA"/>
    <w:rsid w:val="007633B5"/>
    <w:rsid w:val="007708AD"/>
    <w:rsid w:val="007A43AB"/>
    <w:rsid w:val="007D7BF1"/>
    <w:rsid w:val="0082039B"/>
    <w:rsid w:val="008864CF"/>
    <w:rsid w:val="008D7C89"/>
    <w:rsid w:val="0090283B"/>
    <w:rsid w:val="00A662DB"/>
    <w:rsid w:val="00A674BD"/>
    <w:rsid w:val="00A87225"/>
    <w:rsid w:val="00B17481"/>
    <w:rsid w:val="00B26D6F"/>
    <w:rsid w:val="00B511E1"/>
    <w:rsid w:val="00BD2904"/>
    <w:rsid w:val="00BF12A9"/>
    <w:rsid w:val="00C771C6"/>
    <w:rsid w:val="00C909DD"/>
    <w:rsid w:val="00D455D3"/>
    <w:rsid w:val="00D85E86"/>
    <w:rsid w:val="00DC6D0D"/>
    <w:rsid w:val="00E240C8"/>
    <w:rsid w:val="00E727BB"/>
    <w:rsid w:val="00E951DC"/>
    <w:rsid w:val="00F426B6"/>
    <w:rsid w:val="00FA58C5"/>
    <w:rsid w:val="00FB603E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C109"/>
  <w15:docId w15:val="{EC3BF975-495A-46EF-BD93-9AD6D869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6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nhideWhenUsed/>
    <w:qFormat/>
    <w:rsid w:val="002F7E26"/>
    <w:pPr>
      <w:keepNext/>
      <w:spacing w:after="240"/>
      <w:jc w:val="center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F7E26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qFormat/>
    <w:rsid w:val="002F7E26"/>
    <w:pPr>
      <w:keepNext/>
      <w:spacing w:before="240" w:after="60"/>
      <w:ind w:right="144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autoRedefine/>
    <w:rsid w:val="002F7E26"/>
    <w:pPr>
      <w:tabs>
        <w:tab w:val="left" w:pos="-1440"/>
        <w:tab w:val="left" w:pos="-720"/>
      </w:tabs>
      <w:suppressAutoHyphens/>
      <w:ind w:left="1440" w:right="1440"/>
      <w:jc w:val="both"/>
    </w:pPr>
    <w:rPr>
      <w:spacing w:val="-3"/>
    </w:rPr>
  </w:style>
  <w:style w:type="paragraph" w:customStyle="1" w:styleId="Citation">
    <w:name w:val="Citation"/>
    <w:basedOn w:val="Normal"/>
    <w:autoRedefine/>
    <w:rsid w:val="002F7E26"/>
    <w:pPr>
      <w:tabs>
        <w:tab w:val="right" w:leader="dot" w:pos="9360"/>
      </w:tabs>
      <w:ind w:left="360" w:hanging="360"/>
    </w:pPr>
  </w:style>
  <w:style w:type="paragraph" w:styleId="FootnoteText">
    <w:name w:val="footnote text"/>
    <w:basedOn w:val="Normal"/>
    <w:link w:val="FootnoteTextChar"/>
    <w:unhideWhenUsed/>
    <w:rsid w:val="002F7E26"/>
    <w:pPr>
      <w:keepLines/>
      <w:spacing w:line="240" w:lineRule="exact"/>
      <w:jc w:val="both"/>
    </w:pPr>
  </w:style>
  <w:style w:type="character" w:customStyle="1" w:styleId="FootnoteTextChar">
    <w:name w:val="Footnote Text Char"/>
    <w:basedOn w:val="DefaultParagraphFont"/>
    <w:link w:val="FootnoteText"/>
    <w:rsid w:val="006F0B59"/>
  </w:style>
  <w:style w:type="character" w:customStyle="1" w:styleId="Heading1Char">
    <w:name w:val="Heading 1 Char"/>
    <w:basedOn w:val="DefaultParagraphFont"/>
    <w:link w:val="Heading1"/>
    <w:rsid w:val="006F0B59"/>
    <w:rPr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F0B59"/>
    <w:rPr>
      <w:b/>
    </w:rPr>
  </w:style>
  <w:style w:type="character" w:customStyle="1" w:styleId="Heading3Char">
    <w:name w:val="Heading 3 Char"/>
    <w:basedOn w:val="DefaultParagraphFont"/>
    <w:link w:val="Heading3"/>
    <w:semiHidden/>
    <w:rsid w:val="006F0B59"/>
    <w:rPr>
      <w:rFonts w:ascii="Arial" w:hAnsi="Arial"/>
    </w:rPr>
  </w:style>
  <w:style w:type="paragraph" w:customStyle="1" w:styleId="ISSUE">
    <w:name w:val="ISSUE"/>
    <w:basedOn w:val="Normal"/>
    <w:autoRedefine/>
    <w:rsid w:val="00BD2904"/>
    <w:pPr>
      <w:numPr>
        <w:numId w:val="1"/>
      </w:numPr>
      <w:tabs>
        <w:tab w:val="left" w:pos="2160"/>
      </w:tabs>
      <w:spacing w:after="240"/>
      <w:ind w:right="1008"/>
      <w:jc w:val="both"/>
    </w:pPr>
    <w:rPr>
      <w:b/>
      <w:caps/>
    </w:rPr>
  </w:style>
  <w:style w:type="paragraph" w:customStyle="1" w:styleId="NormalDoubleSpace">
    <w:name w:val="Normal + Double Space"/>
    <w:basedOn w:val="Normal"/>
    <w:autoRedefine/>
    <w:qFormat/>
    <w:rsid w:val="00620F17"/>
    <w:pPr>
      <w:spacing w:line="480" w:lineRule="auto"/>
    </w:pPr>
  </w:style>
  <w:style w:type="paragraph" w:styleId="TOC1">
    <w:name w:val="toc 1"/>
    <w:basedOn w:val="Normal"/>
    <w:next w:val="Normal"/>
    <w:semiHidden/>
    <w:rsid w:val="002F7E26"/>
    <w:pPr>
      <w:tabs>
        <w:tab w:val="right" w:leader="dot" w:pos="9350"/>
      </w:tabs>
      <w:spacing w:before="36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semiHidden/>
    <w:rsid w:val="002F7E26"/>
    <w:pPr>
      <w:ind w:left="240"/>
    </w:pPr>
  </w:style>
  <w:style w:type="paragraph" w:styleId="TOC5">
    <w:name w:val="toc 5"/>
    <w:basedOn w:val="Normal"/>
    <w:next w:val="Normal"/>
    <w:semiHidden/>
    <w:rsid w:val="002F7E26"/>
    <w:pPr>
      <w:tabs>
        <w:tab w:val="left" w:pos="1440"/>
        <w:tab w:val="right" w:leader="dot" w:pos="9360"/>
      </w:tabs>
      <w:spacing w:after="240"/>
      <w:ind w:left="475" w:hanging="475"/>
    </w:pPr>
    <w:rPr>
      <w:noProof/>
    </w:rPr>
  </w:style>
  <w:style w:type="paragraph" w:styleId="ListParagraph">
    <w:name w:val="List Paragraph"/>
    <w:basedOn w:val="Normal"/>
    <w:uiPriority w:val="34"/>
    <w:semiHidden/>
    <w:qFormat/>
    <w:rsid w:val="008864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F12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0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91"/>
  </w:style>
  <w:style w:type="paragraph" w:styleId="Footer">
    <w:name w:val="footer"/>
    <w:basedOn w:val="Normal"/>
    <w:link w:val="FooterChar"/>
    <w:uiPriority w:val="99"/>
    <w:rsid w:val="003A0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103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iganidc.gov/wp-content/uploads/2017/03/White-Paper-3-Experts-and-Investigato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jrs.gov/pdffiles1/nij/grants/2280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Van Campen</dc:creator>
  <cp:lastModifiedBy>Dawn Van Hoek</cp:lastModifiedBy>
  <cp:revision>2</cp:revision>
  <cp:lastPrinted>2018-10-11T21:32:00Z</cp:lastPrinted>
  <dcterms:created xsi:type="dcterms:W3CDTF">2019-01-07T23:00:00Z</dcterms:created>
  <dcterms:modified xsi:type="dcterms:W3CDTF">2019-01-07T23:00:00Z</dcterms:modified>
</cp:coreProperties>
</file>